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 xml:space="preserve">UNITED STATES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320"/>
        <w:jc w:val="center"/>
        <w:rPr>
          <w:rFonts w:ascii="Times New Roman;serif" w:hAnsi="Times New Roman;serif"/>
          <w:b/>
          <w:color w:val="000000"/>
          <w:sz w:val="32"/>
        </w:rPr>
      </w:pPr>
      <w:r>
        <w:rPr>
          <w:rFonts w:ascii="Times New Roman;serif" w:hAnsi="Times New Roman;serif"/>
          <w:b/>
          <w:color w:val="000000"/>
          <w:sz w:val="32"/>
        </w:rPr>
        <w:t>WASHINGTON, D.C. 20549</w:t>
      </w:r>
    </w:p>
    <w:p>
      <w:pPr>
        <w:pStyle w:val="TextBody"/>
        <w:bidi w:val="0"/>
        <w:spacing w:lineRule="auto" w:line="288" w:before="0" w:after="32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CURRENT REPORT PURSUANT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TO SECTION 13 OR 15(d) OF THE</w:t>
      </w:r>
    </w:p>
    <w:p>
      <w:pPr>
        <w:pStyle w:val="TextBody"/>
        <w:bidi w:val="0"/>
        <w:spacing w:lineRule="auto" w:line="288" w:before="0" w:after="240"/>
        <w:jc w:val="center"/>
        <w:rPr>
          <w:rFonts w:ascii="Times New Roman;serif" w:hAnsi="Times New Roman;serif"/>
          <w:b/>
          <w:color w:val="000000"/>
          <w:sz w:val="32"/>
        </w:rPr>
      </w:pPr>
      <w:r>
        <w:rPr>
          <w:rFonts w:ascii="Times New Roman;serif" w:hAnsi="Times New Roman;serif"/>
          <w:b/>
          <w:color w:val="000000"/>
          <w:sz w:val="32"/>
        </w:rPr>
        <w:t>SECURITIES EXCHANGE ACT OF 1934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26, 2026</w:t>
      </w:r>
    </w:p>
    <w:tbl>
      <w:tblPr>
        <w:tblW w:w="9045" w:type="dxa"/>
        <w:jc w:val="center"/>
        <w:tblInd w:w="0" w:type="dxa"/>
        <w:tblLayout w:type="fixed"/>
        <w:tblCellMar>
          <w:top w:w="28" w:type="dxa"/>
          <w:left w:w="28" w:type="dxa"/>
          <w:bottom w:w="28" w:type="dxa"/>
          <w:right w:w="28" w:type="dxa"/>
        </w:tblCellMar>
      </w:tblPr>
      <w:tblGrid>
        <w:gridCol w:w="541"/>
        <w:gridCol w:w="475"/>
        <w:gridCol w:w="475"/>
        <w:gridCol w:w="475"/>
        <w:gridCol w:w="475"/>
        <w:gridCol w:w="484"/>
        <w:gridCol w:w="1074"/>
        <w:gridCol w:w="1074"/>
        <w:gridCol w:w="1077"/>
        <w:gridCol w:w="845"/>
        <w:gridCol w:w="845"/>
        <w:gridCol w:w="1205"/>
      </w:tblGrid>
      <w:tr>
        <w:trPr/>
        <w:tc>
          <w:tcPr>
            <w:tcW w:w="54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6"/>
              </w:rPr>
            </w:pPr>
            <w:r>
              <w:rPr>
                <w:rFonts w:ascii="Times New Roman;serif" w:hAnsi="Times New Roman;serif"/>
                <w:b/>
                <w:color w:val="000000"/>
                <w:sz w:val="26"/>
              </w:rPr>
              <w:t xml:space="preserve">Bath &amp; Body Works, Inc. </w:t>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(Exact Name of Registrant</w:t>
              <w:br/>
              <w:t>as Specified in Its Charter)</w:t>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6"/>
              </w:rPr>
            </w:pPr>
            <w:r>
              <w:rPr>
                <w:rFonts w:ascii="Times New Roman;serif" w:hAnsi="Times New Roman;serif"/>
                <w:b/>
                <w:color w:val="000000"/>
                <w:sz w:val="26"/>
              </w:rPr>
              <w:t>Delaware</w:t>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1-8344</w:t>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31-1029810</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904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Limited Parkway</w:t>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Columbus,</w:t>
            </w:r>
          </w:p>
        </w:tc>
        <w:tc>
          <w:tcPr>
            <w:tcW w:w="1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OH</w:t>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43230</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(614) 415-7000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183" w:type="dxa"/>
        <w:jc w:val="left"/>
        <w:tblInd w:w="0" w:type="dxa"/>
        <w:tblLayout w:type="fixed"/>
        <w:tblCellMar>
          <w:top w:w="28" w:type="dxa"/>
          <w:left w:w="28" w:type="dxa"/>
          <w:bottom w:w="28" w:type="dxa"/>
          <w:right w:w="28" w:type="dxa"/>
        </w:tblCellMar>
      </w:tblPr>
      <w:tblGrid>
        <w:gridCol w:w="873"/>
        <w:gridCol w:w="766"/>
        <w:gridCol w:w="776"/>
        <w:gridCol w:w="484"/>
        <w:gridCol w:w="484"/>
        <w:gridCol w:w="486"/>
        <w:gridCol w:w="970"/>
        <w:gridCol w:w="970"/>
        <w:gridCol w:w="1374"/>
      </w:tblGrid>
      <w:tr>
        <w:trPr/>
        <w:tc>
          <w:tcPr>
            <w:tcW w:w="87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4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$0.50 Par Value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BBWI</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New York Stock Exchange</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and</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information, including Exhibit 99.1, is being furnished pursuant to Item 2.02, “Results of Operations and Financial Condition” and Item 7.01, “Regulation FD Disclosure”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August 26, 2026, Bath &amp; Body Works, Inc. issued a press release setting forth its unaudited financial results for the second quarter of 2026 and its earnings guidance for the third quarter of 2026. In addition, the press release contains updated earnings guidance for the full-year 2026. A copy of the press release is attached hereto as Exhibit 99.1 and is hereby incorporated by reference.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00"/>
        <w:jc w:val="left"/>
        <w:rPr/>
      </w:pPr>
      <w:hyperlink w:anchor="ex991bbwi-20262qearningsre.htm">
        <w:r>
          <w:rPr>
            <w:rStyle w:val="InternetLink"/>
            <w:rFonts w:ascii="Times New Roman;serif" w:hAnsi="Times New Roman;serif"/>
            <w:b w:val="false"/>
            <w:color w:val="0000FF"/>
            <w:sz w:val="20"/>
            <w:u w:val="single"/>
          </w:rPr>
          <w:t>Exhibit 99.1</w:t>
        </w:r>
      </w:hyperlink>
      <w:r>
        <w:rPr>
          <w:color w:val="000000"/>
        </w:rPr>
        <w:t>    </w:t>
      </w:r>
      <w:r>
        <w:rPr>
          <w:rFonts w:ascii="Times New Roman;serif" w:hAnsi="Times New Roman;serif"/>
          <w:b w:val="false"/>
          <w:color w:val="000000"/>
          <w:sz w:val="20"/>
        </w:rPr>
        <w:t>Press Release of Bath &amp; Body Works, Inc., dated August 26,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Exhibit 104    Cover Page Interactive Data File (embedded within the Inline XBRL document)</w:t>
      </w:r>
    </w:p>
    <w:p>
      <w:pPr>
        <w:pStyle w:val="TextBody"/>
        <w:bidi w:val="0"/>
        <w:spacing w:before="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6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053" w:type="dxa"/>
        <w:jc w:val="right"/>
        <w:tblInd w:w="0" w:type="dxa"/>
        <w:tblLayout w:type="fixed"/>
        <w:tblCellMar>
          <w:top w:w="28" w:type="dxa"/>
          <w:left w:w="28" w:type="dxa"/>
          <w:bottom w:w="28" w:type="dxa"/>
          <w:right w:w="28" w:type="dxa"/>
        </w:tblCellMar>
      </w:tblPr>
      <w:tblGrid>
        <w:gridCol w:w="200"/>
        <w:gridCol w:w="177"/>
        <w:gridCol w:w="178"/>
        <w:gridCol w:w="484"/>
        <w:gridCol w:w="484"/>
        <w:gridCol w:w="486"/>
        <w:gridCol w:w="134"/>
        <w:gridCol w:w="134"/>
        <w:gridCol w:w="136"/>
        <w:gridCol w:w="773"/>
        <w:gridCol w:w="773"/>
        <w:gridCol w:w="109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Bath &amp; Body Works,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TOM JAVITCH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Tom Javitch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r>
    </w:tbl>
    <w:p>
      <w:pPr>
        <w:pStyle w:val="TextBody"/>
        <w:bidi w:val="0"/>
        <w:spacing w:before="10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99.1</w:t>
      </w:r>
    </w:p>
    <w:p>
      <w:pPr>
        <w:pStyle w:val="TextBody"/>
        <w:bidi w:val="0"/>
        <w:spacing w:before="0" w:after="0"/>
        <w:jc w:val="center"/>
        <w:rPr/>
      </w:pPr>
      <w:r>
        <w:rPr/>
        <w:drawing>
          <wp:inline distT="0" distB="0" distL="0" distR="0">
            <wp:extent cx="6686550" cy="6572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686550" cy="657225"/>
                    </a:xfrm>
                    <a:prstGeom prst="rect">
                      <a:avLst/>
                    </a:prstGeom>
                  </pic:spPr>
                </pic:pic>
              </a:graphicData>
            </a:graphic>
          </wp:inline>
        </w:drawing>
      </w:r>
    </w:p>
    <w:p>
      <w:pPr>
        <w:pStyle w:val="TextBody"/>
        <w:bidi w:val="0"/>
        <w:spacing w:lineRule="auto" w:line="268" w:before="0" w:after="0"/>
        <w:jc w:val="center"/>
        <w:rPr>
          <w:rFonts w:ascii="sans-serif" w:hAnsi="sans-serif"/>
          <w:b/>
          <w:color w:val="000000"/>
          <w:sz w:val="22"/>
        </w:rPr>
      </w:pPr>
      <w:r>
        <w:rPr>
          <w:rFonts w:ascii="sans-serif" w:hAnsi="sans-serif"/>
          <w:b/>
          <w:color w:val="000000"/>
          <w:sz w:val="22"/>
        </w:rPr>
        <w:t>Reports Second Quarter Results Exceeding Guidance and Continued Progress on Transformation</w:t>
      </w:r>
    </w:p>
    <w:p>
      <w:pPr>
        <w:pStyle w:val="TextBody"/>
        <w:bidi w:val="0"/>
        <w:spacing w:before="0" w:after="0"/>
        <w:jc w:val="center"/>
        <w:rPr/>
      </w:pPr>
      <w:r>
        <w:rPr/>
      </w:r>
    </w:p>
    <w:p>
      <w:pPr>
        <w:pStyle w:val="TextBody"/>
        <w:bidi w:val="0"/>
        <w:spacing w:lineRule="auto" w:line="268" w:before="0" w:after="0"/>
        <w:ind w:left="0" w:right="0" w:hanging="360"/>
        <w:jc w:val="left"/>
        <w:rPr/>
      </w:pPr>
      <w:r>
        <w:rPr>
          <w:color w:val="000000"/>
        </w:rPr>
        <w:t>•</w:t>
      </w:r>
      <w:r>
        <w:rPr>
          <w:rFonts w:ascii="sans-serif" w:hAnsi="sans-serif"/>
          <w:b w:val="false"/>
          <w:i/>
          <w:color w:val="000000"/>
          <w:sz w:val="22"/>
        </w:rPr>
        <w:t>Delivers Q2 net sales and adjusted earnings per share results above guidance</w:t>
      </w:r>
    </w:p>
    <w:p>
      <w:pPr>
        <w:pStyle w:val="TextBody"/>
        <w:bidi w:val="0"/>
        <w:spacing w:lineRule="auto" w:line="268" w:before="0" w:after="0"/>
        <w:ind w:left="0" w:right="0" w:hanging="360"/>
        <w:jc w:val="left"/>
        <w:rPr/>
      </w:pPr>
      <w:r>
        <w:rPr>
          <w:color w:val="000000"/>
        </w:rPr>
        <w:t>•</w:t>
      </w:r>
      <w:r>
        <w:rPr>
          <w:rFonts w:ascii="sans-serif" w:hAnsi="sans-serif"/>
          <w:b w:val="false"/>
          <w:i/>
          <w:color w:val="000000"/>
          <w:sz w:val="22"/>
        </w:rPr>
        <w:t>Second quarter net sales of $1.5 billion, down 2.3%. Earnings per diluted share of $0.58; Adjusted earnings per diluted share of $0.62</w:t>
      </w:r>
    </w:p>
    <w:p>
      <w:pPr>
        <w:pStyle w:val="TextBody"/>
        <w:bidi w:val="0"/>
        <w:spacing w:lineRule="auto" w:line="268" w:before="0" w:after="0"/>
        <w:ind w:left="0" w:right="0" w:hanging="360"/>
        <w:jc w:val="left"/>
        <w:rPr/>
      </w:pPr>
      <w:r>
        <w:rPr>
          <w:color w:val="000000"/>
        </w:rPr>
        <w:t>•</w:t>
      </w:r>
      <w:r>
        <w:rPr>
          <w:rFonts w:ascii="sans-serif" w:hAnsi="sans-serif"/>
          <w:b w:val="false"/>
          <w:i/>
          <w:color w:val="000000"/>
          <w:sz w:val="22"/>
        </w:rPr>
        <w:t xml:space="preserve">Delivered growth in Direct net sales, supported by ongoing enhancements to the digital experience over the past year </w:t>
      </w:r>
    </w:p>
    <w:p>
      <w:pPr>
        <w:pStyle w:val="TextBody"/>
        <w:bidi w:val="0"/>
        <w:spacing w:lineRule="auto" w:line="268" w:before="0" w:after="0"/>
        <w:ind w:left="0" w:right="0" w:hanging="360"/>
        <w:jc w:val="left"/>
        <w:rPr/>
      </w:pPr>
      <w:r>
        <w:rPr>
          <w:color w:val="000000"/>
        </w:rPr>
        <w:t>•</w:t>
      </w:r>
      <w:r>
        <w:rPr>
          <w:rFonts w:ascii="sans-serif" w:hAnsi="sans-serif"/>
          <w:b w:val="false"/>
          <w:i/>
          <w:color w:val="000000"/>
          <w:sz w:val="22"/>
        </w:rPr>
        <w:t>Raises full-year 2026 earnings per diluted share guidance to $3.13 to $3.33; adjusted earnings per diluted share guidance to $2.60 to $2.80 and narrows net sales guidance to a decline between 4% to 2.5%</w:t>
      </w:r>
    </w:p>
    <w:p>
      <w:pPr>
        <w:pStyle w:val="TextBody"/>
        <w:bidi w:val="0"/>
        <w:spacing w:lineRule="auto" w:line="268" w:before="120" w:after="120"/>
        <w:jc w:val="left"/>
        <w:rPr>
          <w:rFonts w:ascii="sans-serif" w:hAnsi="sans-serif"/>
          <w:b w:val="false"/>
          <w:color w:val="000000"/>
          <w:sz w:val="22"/>
        </w:rPr>
      </w:pPr>
      <w:r>
        <w:rPr>
          <w:rFonts w:ascii="sans-serif" w:hAnsi="sans-serif"/>
          <w:b w:val="false"/>
          <w:color w:val="000000"/>
          <w:sz w:val="22"/>
        </w:rPr>
        <w:t>COLUMBUS, Ohio –August 26, 2026 – Bath &amp; Body Works, Inc. (NYSE: BBWI) today reported second quarter 2026 results.</w:t>
      </w:r>
    </w:p>
    <w:p>
      <w:pPr>
        <w:pStyle w:val="TextBody"/>
        <w:bidi w:val="0"/>
        <w:spacing w:lineRule="auto" w:line="268" w:before="120" w:after="120"/>
        <w:jc w:val="left"/>
        <w:rPr>
          <w:rFonts w:ascii="sans-serif" w:hAnsi="sans-serif"/>
          <w:b w:val="false"/>
          <w:color w:val="000000"/>
          <w:sz w:val="22"/>
        </w:rPr>
      </w:pPr>
      <w:r>
        <w:rPr>
          <w:rFonts w:ascii="sans-serif" w:hAnsi="sans-serif"/>
          <w:b w:val="false"/>
          <w:color w:val="000000"/>
          <w:sz w:val="22"/>
        </w:rPr>
        <w:t>Daniel Heaf, chief executive officer of Bath &amp; Body Works, commented, “Our second-quarter results exceeded our sales and earnings per share guidance. Underlying business trends remain pressured, but we are seeing further evidence that elements of the Consumer First Formula are beginning to work. We delivered sequential improvement in Body Care, stronger AUR on new product innovation, improved brand discoverability, and continued momentum across our marketplace partnerships.”</w:t>
      </w:r>
    </w:p>
    <w:p>
      <w:pPr>
        <w:pStyle w:val="TextBody"/>
        <w:bidi w:val="0"/>
        <w:spacing w:lineRule="auto" w:line="268" w:before="120" w:after="120"/>
        <w:jc w:val="left"/>
        <w:rPr>
          <w:color w:val="000000"/>
        </w:rPr>
      </w:pPr>
      <w:r>
        <w:rPr>
          <w:color w:val="000000"/>
        </w:rPr>
        <w:t>“</w:t>
      </w:r>
      <w:r>
        <w:rPr>
          <w:rFonts w:ascii="sans-serif" w:hAnsi="sans-serif"/>
          <w:b w:val="false"/>
          <w:color w:val="000000"/>
          <w:sz w:val="22"/>
        </w:rPr>
        <w:t>Additionally, this quarter marks the first direct net sales growth since 2021. The investments we've made over the past year are strengthening the customer proposition through a more seamless and engaging shopping experience, and these improvements are resonating with consumers.”</w:t>
      </w:r>
    </w:p>
    <w:p>
      <w:pPr>
        <w:pStyle w:val="TextBody"/>
        <w:bidi w:val="0"/>
        <w:spacing w:lineRule="auto" w:line="268" w:before="120" w:after="120"/>
        <w:jc w:val="left"/>
        <w:rPr>
          <w:rFonts w:ascii="sans-serif" w:hAnsi="sans-serif"/>
          <w:b w:val="false"/>
          <w:color w:val="000000"/>
          <w:sz w:val="22"/>
        </w:rPr>
      </w:pPr>
      <w:r>
        <w:rPr>
          <w:rFonts w:ascii="sans-serif" w:hAnsi="sans-serif"/>
          <w:b w:val="false"/>
          <w:color w:val="000000"/>
          <w:sz w:val="22"/>
        </w:rPr>
        <w:t>Heaf, continued, “These proof points strengthen our confidence in the strategy, but we remain in the early stages of the transformation. Our priority remains improving the trajectory of the business while continuing to build the product, brand and marketplace capabilities that we believe will position Bath &amp; Body Works for sustainable, durable growth in 2027.”</w:t>
      </w:r>
    </w:p>
    <w:p>
      <w:pPr>
        <w:pStyle w:val="TextBody"/>
        <w:bidi w:val="0"/>
        <w:spacing w:lineRule="auto" w:line="256" w:before="140" w:after="140"/>
        <w:jc w:val="left"/>
        <w:rPr>
          <w:rFonts w:ascii="sans-serif" w:hAnsi="sans-serif"/>
          <w:b/>
          <w:color w:val="000000"/>
          <w:sz w:val="22"/>
          <w:u w:val="single"/>
        </w:rPr>
      </w:pPr>
      <w:r>
        <w:rPr>
          <w:rFonts w:ascii="sans-serif" w:hAnsi="sans-serif"/>
          <w:b/>
          <w:color w:val="000000"/>
          <w:sz w:val="22"/>
          <w:u w:val="single"/>
        </w:rPr>
        <w:t>Second Quarter 2026 Results</w:t>
      </w:r>
    </w:p>
    <w:p>
      <w:pPr>
        <w:pStyle w:val="TextBody"/>
        <w:bidi w:val="0"/>
        <w:spacing w:lineRule="auto" w:line="268" w:before="120" w:after="120"/>
        <w:jc w:val="left"/>
        <w:rPr>
          <w:rFonts w:ascii="sans-serif" w:hAnsi="sans-serif"/>
          <w:b w:val="false"/>
          <w:color w:val="000000"/>
          <w:sz w:val="22"/>
        </w:rPr>
      </w:pPr>
      <w:r>
        <w:rPr>
          <w:rFonts w:ascii="sans-serif" w:hAnsi="sans-serif"/>
          <w:b w:val="false"/>
          <w:color w:val="000000"/>
          <w:sz w:val="22"/>
        </w:rPr>
        <w:t xml:space="preserve">The company reported net sales of $1,514 million for the quarter ended August 1, 2026, a decrease of 2.3% compared to net sales of $1,549 million for the quarter ended August 2, 2025. </w:t>
      </w:r>
    </w:p>
    <w:p>
      <w:pPr>
        <w:pStyle w:val="TextBody"/>
        <w:bidi w:val="0"/>
        <w:spacing w:lineRule="auto" w:line="268" w:before="120" w:after="120"/>
        <w:jc w:val="left"/>
        <w:rPr>
          <w:rFonts w:ascii="sans-serif" w:hAnsi="sans-serif"/>
          <w:b w:val="false"/>
          <w:color w:val="000000"/>
          <w:sz w:val="22"/>
        </w:rPr>
      </w:pPr>
      <w:r>
        <w:rPr>
          <w:rFonts w:ascii="sans-serif" w:hAnsi="sans-serif"/>
          <w:b w:val="false"/>
          <w:color w:val="000000"/>
          <w:sz w:val="22"/>
        </w:rPr>
        <w:t>Earnings per diluted share were $0.58 for the second quarter of 2026 compared to $0.30 last year. Second quarter operating income was $216 million compared to $157 million last year, and net income was $118 million compared to $64 million last year.</w:t>
      </w:r>
    </w:p>
    <w:p>
      <w:pPr>
        <w:pStyle w:val="TextBody"/>
        <w:bidi w:val="0"/>
        <w:spacing w:lineRule="auto" w:line="268" w:before="120" w:after="120"/>
        <w:jc w:val="left"/>
        <w:rPr>
          <w:rFonts w:ascii="sans-serif" w:hAnsi="sans-serif"/>
          <w:b w:val="false"/>
          <w:color w:val="000000"/>
          <w:sz w:val="22"/>
        </w:rPr>
      </w:pPr>
      <w:r>
        <w:rPr>
          <w:rFonts w:ascii="sans-serif" w:hAnsi="sans-serif"/>
          <w:b w:val="false"/>
          <w:color w:val="000000"/>
          <w:sz w:val="22"/>
        </w:rPr>
        <w:t>Reported second quarter 2026 results included aggregate pre-tax costs of $9 million ($7 million after tax) associated with business transformation activities. Excluding this item, adjusted earnings per diluted share was $0.62, adjusted operating income was $225 million and adjusted net income was $125 million.</w:t>
      </w:r>
    </w:p>
    <w:p>
      <w:pPr>
        <w:pStyle w:val="TextBody"/>
        <w:bidi w:val="0"/>
        <w:spacing w:lineRule="auto" w:line="268" w:before="120" w:after="120"/>
        <w:jc w:val="left"/>
        <w:rPr>
          <w:rFonts w:ascii="sans-serif" w:hAnsi="sans-serif"/>
          <w:b w:val="false"/>
          <w:color w:val="000000"/>
          <w:sz w:val="22"/>
        </w:rPr>
      </w:pPr>
      <w:r>
        <w:rPr>
          <w:rFonts w:ascii="sans-serif" w:hAnsi="sans-serif"/>
          <w:b w:val="false"/>
          <w:color w:val="000000"/>
          <w:sz w:val="22"/>
        </w:rPr>
        <w:t>Reported second quarter 2025 results included pre-tax costs of $15 million ($14 million after-tax) associated with the transition of certain members of the leadership team. Excluding this item, adjusted earnings per diluted share was $0.37, adjusted operating income was $172 million and adjusted net income was $78 million.</w:t>
      </w:r>
    </w:p>
    <w:p>
      <w:pPr>
        <w:pStyle w:val="TextBody"/>
        <w:bidi w:val="0"/>
        <w:spacing w:lineRule="auto" w:line="268" w:before="120" w:after="120"/>
        <w:jc w:val="left"/>
        <w:rPr>
          <w:rFonts w:ascii="sans-serif" w:hAnsi="sans-serif"/>
          <w:b w:val="false"/>
          <w:color w:val="000000"/>
          <w:sz w:val="22"/>
        </w:rPr>
      </w:pPr>
      <w:r>
        <w:rPr>
          <w:rFonts w:ascii="sans-serif" w:hAnsi="sans-serif"/>
          <w:b w:val="false"/>
          <w:color w:val="000000"/>
          <w:sz w:val="22"/>
        </w:rPr>
        <w:t>Reported and adjusted second quarter 2026 results included approximately $80 million of tariff refunds received in the quarter. Excluding the refund benefit, second quarter 2026 adjusted earnings per diluted share would have been $0.31.</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At the conclusion of this press release is a reconciliation of reported‐to‐adjusted results, including a description of the adjusted items.</w:t>
      </w:r>
    </w:p>
    <w:p>
      <w:pPr>
        <w:pStyle w:val="TextBody"/>
        <w:bidi w:val="0"/>
        <w:spacing w:lineRule="auto" w:line="268" w:before="140" w:after="140"/>
        <w:jc w:val="left"/>
        <w:rPr>
          <w:rFonts w:ascii="sans-serif" w:hAnsi="sans-serif"/>
          <w:b/>
          <w:color w:val="000000"/>
          <w:sz w:val="22"/>
          <w:u w:val="single"/>
        </w:rPr>
      </w:pPr>
      <w:r>
        <w:rPr>
          <w:rFonts w:ascii="sans-serif" w:hAnsi="sans-serif"/>
          <w:b/>
          <w:color w:val="000000"/>
          <w:sz w:val="22"/>
          <w:u w:val="single"/>
        </w:rPr>
        <w:t>2026 Guidance</w:t>
      </w:r>
    </w:p>
    <w:p>
      <w:pPr>
        <w:pStyle w:val="TextBody"/>
        <w:bidi w:val="0"/>
        <w:spacing w:lineRule="auto" w:line="268" w:before="120" w:after="120"/>
        <w:jc w:val="left"/>
        <w:rPr>
          <w:rFonts w:ascii="sans-serif" w:hAnsi="sans-serif"/>
          <w:b w:val="false"/>
          <w:color w:val="000000"/>
          <w:sz w:val="22"/>
        </w:rPr>
      </w:pPr>
      <w:r>
        <w:rPr>
          <w:rFonts w:ascii="sans-serif" w:hAnsi="sans-serif"/>
          <w:b w:val="false"/>
          <w:color w:val="000000"/>
          <w:sz w:val="22"/>
        </w:rPr>
        <w:t xml:space="preserve">The company is narrowing its full-year 2026 guidance of net sales to decline between 4% to 2.5% compared to $7,291 million in fiscal 2025. The company is also raising its full-year 2026 earnings per diluted share guidance to between $3.13 and $3.33 compared to $3.11 in fiscal 2025 and full-year 2026 adjusted earnings per diluted share guidance to between $2.60 and $2.80, compared to adjusted earnings per diluted share of $3.21 in 2025. There are no share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13360"/>
                <wp:effectExtent l="0" t="0" r="0" b="0"/>
                <wp:wrapNone/>
                <wp:docPr id="5" name="Frame4"/>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p>
      <w:pPr>
        <w:pStyle w:val="TextBody"/>
        <w:bidi w:val="0"/>
        <w:spacing w:lineRule="auto" w:line="268" w:before="120" w:after="120"/>
        <w:jc w:val="left"/>
        <w:rPr>
          <w:rFonts w:ascii="sans-serif" w:hAnsi="sans-serif"/>
          <w:b w:val="false"/>
          <w:color w:val="000000"/>
          <w:sz w:val="22"/>
        </w:rPr>
      </w:pPr>
      <w:r>
        <w:rPr>
          <w:rFonts w:ascii="sans-serif" w:hAnsi="sans-serif"/>
          <w:b w:val="false"/>
          <w:color w:val="000000"/>
          <w:sz w:val="22"/>
        </w:rPr>
        <w:t>repurchases assumed in our outlook. In fiscal 2026, we now expect to generate free cash flow of approximately $650 million.</w:t>
      </w:r>
    </w:p>
    <w:p>
      <w:pPr>
        <w:pStyle w:val="TextBody"/>
        <w:bidi w:val="0"/>
        <w:spacing w:lineRule="auto" w:line="268" w:before="120" w:after="120"/>
        <w:jc w:val="left"/>
        <w:rPr>
          <w:rFonts w:ascii="sans-serif" w:hAnsi="sans-serif"/>
          <w:b w:val="false"/>
          <w:color w:val="000000"/>
          <w:sz w:val="22"/>
        </w:rPr>
      </w:pPr>
      <w:r>
        <w:rPr>
          <w:rFonts w:ascii="sans-serif" w:hAnsi="sans-serif"/>
          <w:b w:val="false"/>
          <w:color w:val="000000"/>
          <w:sz w:val="22"/>
        </w:rPr>
        <w:t xml:space="preserve">For the third quarter of 2026, the company is forecasting net sales to decline between 5% to 2.5% compared to $1,594 million in the third quarter of 2025. Third quarter 2026 earnings per diluted share is expected to be between $0.05 and $0.10, compared to earnings per diluted share of $0.37 in the third quarter of 2025 and third quarter 2026 adjusted earnings per diluted share is expected to be between $0.07 and $0.12 compared to adjusted earnings per diluted share of $0.35 in the third quarter of 2025. </w:t>
      </w:r>
    </w:p>
    <w:p>
      <w:pPr>
        <w:pStyle w:val="TextBody"/>
        <w:bidi w:val="0"/>
        <w:spacing w:lineRule="auto" w:line="268" w:before="120" w:after="120"/>
        <w:jc w:val="left"/>
        <w:rPr>
          <w:rFonts w:ascii="sans-serif" w:hAnsi="sans-serif"/>
          <w:b w:val="false"/>
          <w:color w:val="000000"/>
          <w:sz w:val="22"/>
        </w:rPr>
      </w:pPr>
      <w:r>
        <w:rPr>
          <w:rFonts w:ascii="sans-serif" w:hAnsi="sans-serif"/>
          <w:b w:val="false"/>
          <w:color w:val="000000"/>
          <w:sz w:val="22"/>
        </w:rPr>
        <w:t xml:space="preserve">At the conclusion of this press release is a reconciliation of our guidance-to-adjusted guidance, including a description of the adjusted items. </w:t>
      </w:r>
    </w:p>
    <w:p>
      <w:pPr>
        <w:pStyle w:val="TextBody"/>
        <w:bidi w:val="0"/>
        <w:spacing w:lineRule="auto" w:line="268" w:before="120" w:after="120"/>
        <w:jc w:val="left"/>
        <w:rPr>
          <w:rFonts w:ascii="sans-serif" w:hAnsi="sans-serif"/>
          <w:b w:val="false"/>
          <w:color w:val="000000"/>
          <w:sz w:val="22"/>
        </w:rPr>
      </w:pPr>
      <w:r>
        <w:rPr>
          <w:rFonts w:ascii="sans-serif" w:hAnsi="sans-serif"/>
          <w:b w:val="false"/>
          <w:color w:val="000000"/>
          <w:sz w:val="22"/>
        </w:rPr>
        <w:t>For a reconciliation of our reported GAAP to adjusted non-GAAP earnings per diluted share for fiscal 2025 and the third quarter of 2025, refer to our Annual Report on Form 10-K, filed with the SEC on March 12, 2026, and our Quarterly Report on Form 10-Q, filed with the SEC on November 20, 2025, respectively.</w:t>
      </w:r>
    </w:p>
    <w:p>
      <w:pPr>
        <w:pStyle w:val="TextBody"/>
        <w:bidi w:val="0"/>
        <w:spacing w:lineRule="auto" w:line="288" w:before="140" w:after="140"/>
        <w:jc w:val="left"/>
        <w:rPr>
          <w:rFonts w:ascii="sans-serif" w:hAnsi="sans-serif"/>
          <w:b/>
          <w:color w:val="000000"/>
          <w:sz w:val="22"/>
          <w:u w:val="single"/>
        </w:rPr>
      </w:pPr>
      <w:r>
        <w:rPr>
          <w:rFonts w:ascii="sans-serif" w:hAnsi="sans-serif"/>
          <w:b/>
          <w:color w:val="000000"/>
          <w:sz w:val="22"/>
          <w:u w:val="single"/>
        </w:rPr>
        <w:t xml:space="preserve">Earnings Call and Additional Information </w:t>
      </w:r>
    </w:p>
    <w:p>
      <w:pPr>
        <w:pStyle w:val="TextBody"/>
        <w:bidi w:val="0"/>
        <w:spacing w:lineRule="auto" w:line="268" w:before="120" w:after="120"/>
        <w:jc w:val="left"/>
        <w:rPr>
          <w:rFonts w:ascii="sans-serif" w:hAnsi="sans-serif"/>
          <w:b w:val="false"/>
          <w:color w:val="000000"/>
          <w:sz w:val="22"/>
        </w:rPr>
      </w:pPr>
      <w:r>
        <w:rPr>
          <w:rFonts w:ascii="sans-serif" w:hAnsi="sans-serif"/>
          <w:b w:val="false"/>
          <w:color w:val="000000"/>
          <w:sz w:val="22"/>
        </w:rPr>
        <w:t xml:space="preserve">Bath &amp; Body Works, Inc. will conduct its second quarter earnings call at 8:30 a.m. ET on August 26th. To listen, call 877-407-9219 (international dial-in number: 412-652-1274). For an audio replay, call 877-660-6853 (international replay number: 201-612-7415); access code 13761942 or log onto www.BBWInc.com. A slide presentation has been posted on the company’s Investor Relations website that summarizes certain information in the company‘s prepared remarks from the earnings call as well as some additional facts and figures regarding the company’s operating performance and guidance. </w:t>
      </w:r>
    </w:p>
    <w:p>
      <w:pPr>
        <w:pStyle w:val="TextBody"/>
        <w:bidi w:val="0"/>
        <w:spacing w:lineRule="auto" w:line="288" w:before="140" w:after="140"/>
        <w:jc w:val="left"/>
        <w:rPr>
          <w:rFonts w:ascii="sans-serif" w:hAnsi="sans-serif"/>
          <w:b/>
          <w:color w:val="000000"/>
          <w:sz w:val="22"/>
          <w:u w:val="single"/>
        </w:rPr>
      </w:pPr>
      <w:r>
        <w:rPr>
          <w:rFonts w:ascii="sans-serif" w:hAnsi="sans-serif"/>
          <w:b/>
          <w:color w:val="000000"/>
          <w:sz w:val="22"/>
          <w:u w:val="single"/>
        </w:rPr>
        <w:t xml:space="preserve">ABOUT BATH &amp; BODY WORKS </w:t>
      </w:r>
    </w:p>
    <w:p>
      <w:pPr>
        <w:pStyle w:val="TextBody"/>
        <w:bidi w:val="0"/>
        <w:spacing w:lineRule="auto" w:line="268" w:before="120" w:after="120"/>
        <w:jc w:val="left"/>
        <w:rPr>
          <w:rFonts w:ascii="sans-serif" w:hAnsi="sans-serif"/>
          <w:b w:val="false"/>
          <w:color w:val="000000"/>
          <w:sz w:val="22"/>
        </w:rPr>
      </w:pPr>
      <w:r>
        <w:rPr>
          <w:rFonts w:ascii="sans-serif" w:hAnsi="sans-serif"/>
          <w:b w:val="false"/>
          <w:color w:val="000000"/>
          <w:sz w:val="22"/>
        </w:rPr>
        <w:t xml:space="preserve">Bath &amp; Body Works is a global leader in personal care and home fragrance, driven by the belief that everybody deserves to feel good. </w:t>
      </w:r>
    </w:p>
    <w:p>
      <w:pPr>
        <w:pStyle w:val="TextBody"/>
        <w:bidi w:val="0"/>
        <w:spacing w:lineRule="auto" w:line="268" w:before="120" w:after="120"/>
        <w:jc w:val="left"/>
        <w:rPr>
          <w:rFonts w:ascii="sans-serif" w:hAnsi="sans-serif"/>
          <w:b w:val="false"/>
          <w:color w:val="000000"/>
          <w:sz w:val="22"/>
        </w:rPr>
      </w:pPr>
      <w:r>
        <w:rPr>
          <w:rFonts w:ascii="sans-serif" w:hAnsi="sans-serif"/>
          <w:b w:val="false"/>
          <w:color w:val="000000"/>
          <w:sz w:val="22"/>
        </w:rPr>
        <w:t xml:space="preserve">The brand’s beloved and iconic scents are expertly crafted for exceptional performance and a luxury fragrance experience. Formulated with thoughtfully chosen ingredients, Bath &amp; Body Works’ body care products are available in multiple forms including fine fragrance mist, body cream, lotion, eau de parfum, body wash, hand soap, sanitizer and more. The brand’s famous 3-wick candles are made with rich, high-quality fragrance oils layered throughout a premium soy wax base, for up to 45 hours of room-filling fragrance. </w:t>
      </w:r>
    </w:p>
    <w:p>
      <w:pPr>
        <w:pStyle w:val="TextBody"/>
        <w:bidi w:val="0"/>
        <w:spacing w:lineRule="auto" w:line="268" w:before="120" w:after="120"/>
        <w:jc w:val="left"/>
        <w:rPr>
          <w:rFonts w:ascii="sans-serif" w:hAnsi="sans-serif"/>
          <w:b w:val="false"/>
          <w:color w:val="000000"/>
          <w:sz w:val="22"/>
        </w:rPr>
      </w:pPr>
      <w:r>
        <w:rPr>
          <w:rFonts w:ascii="sans-serif" w:hAnsi="sans-serif"/>
          <w:b w:val="false"/>
          <w:color w:val="000000"/>
          <w:sz w:val="22"/>
        </w:rPr>
        <w:t>Consumers can shop Bath &amp; Body Works anytime and anywhere they choose, from welcoming, in-store experiences at more than 1,900 stores in the U.S. and Canada, 550-plus international locations and select Ulta Beauty stores. Online, consumers can visit bathandbodyworks.com, Amazon and Ulta.com.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40"/>
        <w:jc w:val="both"/>
        <w:rPr>
          <w:rFonts w:ascii="sans-serif" w:hAnsi="sans-serif"/>
          <w:b/>
          <w:color w:val="000000"/>
          <w:sz w:val="22"/>
          <w:u w:val="single"/>
        </w:rPr>
      </w:pPr>
      <w:r>
        <w:rPr>
          <w:rFonts w:ascii="sans-serif" w:hAnsi="sans-serif"/>
          <w:b/>
          <w:color w:val="000000"/>
          <w:sz w:val="22"/>
          <w:u w:val="single"/>
        </w:rPr>
        <w:t>Safe Harbor Statement Under the Private Securities Litigation Reform Act of 1995</w:t>
      </w:r>
    </w:p>
    <w:p>
      <w:pPr>
        <w:pStyle w:val="TextBody"/>
        <w:bidi w:val="0"/>
        <w:spacing w:lineRule="auto" w:line="268" w:before="120" w:after="120"/>
        <w:jc w:val="left"/>
        <w:rPr>
          <w:rFonts w:ascii="sans-serif" w:hAnsi="sans-serif"/>
          <w:b w:val="false"/>
          <w:color w:val="000000"/>
          <w:sz w:val="22"/>
        </w:rPr>
      </w:pPr>
      <w:r>
        <w:rPr>
          <w:rFonts w:ascii="sans-serif" w:hAnsi="sans-serif"/>
          <w:b w:val="false"/>
          <w:color w:val="000000"/>
          <w:sz w:val="22"/>
        </w:rPr>
        <w:t>We caution that any forward-looking statements (as such term is defined in the Private Securities Litigation Reform Act of 1995) contained in this press release or made by our Company or our management involve risks and uncertainties and are subject to change based on various factors, many of which are beyond our control. Accordingly, our future performance and financial results may differ materially from those expressed or implied in any such forward-looking statements. Words such as “estimate,” “project,” “plan,” “believe,” “expect,” “anticipate,” “intend,” “potential,” “target,” “goal” and any similar expressions may identify forward-looking statements. There are risks, uncertainties and other factors that in some cases have affected and, in the future, could affect our financial performance and actual results and could cause actual results to differ materially from those expressed or implied in any forward-looking statements included in this report or otherwise made by the Company or our management. These factors can be found in Item 1A. Risk Factors in our 2025 Annual Report on Form 10-K and our subsequent filings.</w:t>
      </w:r>
    </w:p>
    <w:p>
      <w:pPr>
        <w:pStyle w:val="TextBody"/>
        <w:bidi w:val="0"/>
        <w:spacing w:lineRule="auto" w:line="268" w:before="120" w:after="120"/>
        <w:jc w:val="left"/>
        <w:rPr>
          <w:rFonts w:ascii="sans-serif" w:hAnsi="sans-serif"/>
          <w:b w:val="false"/>
          <w:color w:val="000000"/>
          <w:sz w:val="22"/>
        </w:rPr>
      </w:pPr>
      <w:r>
        <w:rPr>
          <w:rFonts w:ascii="sans-serif" w:hAnsi="sans-serif"/>
          <w:b w:val="false"/>
          <w:color w:val="000000"/>
          <w:sz w:val="22"/>
        </w:rPr>
        <w:t xml:space="preserve">We are not under any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w:t>
      </w:r>
    </w:p>
    <w:p>
      <w:pPr>
        <w:pStyle w:val="TextBody"/>
        <w:bidi w:val="0"/>
        <w:spacing w:lineRule="auto" w:line="268" w:before="120" w:after="120"/>
        <w:jc w:val="left"/>
        <w:rPr>
          <w:rFonts w:ascii="sans-serif" w:hAnsi="sans-serif"/>
          <w:b w:val="false"/>
          <w:color w:val="000000"/>
          <w:sz w:val="22"/>
        </w:rPr>
      </w:pPr>
      <w:r>
        <w:rPr>
          <w:rFonts w:ascii="sans-serif" w:hAnsi="sans-serif"/>
          <w:b w:val="false"/>
          <w:color w:val="000000"/>
          <w:sz w:val="22"/>
        </w:rPr>
        <w:t xml:space="preserve">We announce material financial and operational information using our investor relations website, press releases, SEC filings and public conference calls and webcasts. Information about the Company, our business and our results of operations may also be announced by posts on our accounts on social media channels, including the following: Facebook, Instagram, X, LinkedIn, Pinterest, TikTok and YouTube. The information that we post through these social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13360"/>
                <wp:effectExtent l="0" t="0" r="0" b="0"/>
                <wp:wrapNone/>
                <wp:docPr id="6" name="Frame5"/>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p>
      <w:pPr>
        <w:pStyle w:val="TextBody"/>
        <w:bidi w:val="0"/>
        <w:spacing w:lineRule="auto" w:line="268" w:before="120" w:after="120"/>
        <w:jc w:val="left"/>
        <w:rPr>
          <w:rFonts w:ascii="sans-serif" w:hAnsi="sans-serif"/>
          <w:b w:val="false"/>
          <w:color w:val="000000"/>
          <w:sz w:val="22"/>
        </w:rPr>
      </w:pPr>
      <w:r>
        <w:rPr>
          <w:rFonts w:ascii="sans-serif" w:hAnsi="sans-serif"/>
          <w:b w:val="false"/>
          <w:color w:val="000000"/>
          <w:sz w:val="22"/>
        </w:rPr>
        <w:t xml:space="preserve">media channels and on our website may be deemed material. As a result, we encourage investors, the media and others interested in the Company to monitor these social media channels in addition to following our investor relations website, press releases, SEC filings and public conference calls and webcasts. The list of social media channels we use may be updated from time to time on our investor relations website.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For further information, please contact:</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Bath &amp; Body Works, Inc.:</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Luke Long</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InvestorRelations@bbw.com</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 xml:space="preserve">Media Relations </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 xml:space="preserve">Emmy Beach </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Communications@bbw.com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13360"/>
                <wp:effectExtent l="0" t="0" r="0" b="0"/>
                <wp:wrapNone/>
                <wp:docPr id="7" name="Frame6"/>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BATH &amp; BODY WORKS, INC.</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Second Quarter 2026</w:t>
      </w:r>
    </w:p>
    <w:p>
      <w:pPr>
        <w:pStyle w:val="TextBody"/>
        <w:bidi w:val="0"/>
        <w:spacing w:before="0" w:after="0"/>
        <w:jc w:val="left"/>
        <w:rPr/>
      </w:pPr>
      <w:r>
        <w:rPr/>
      </w:r>
    </w:p>
    <w:p>
      <w:pPr>
        <w:pStyle w:val="TextBody"/>
        <w:bidi w:val="0"/>
        <w:spacing w:lineRule="auto" w:line="288" w:before="0" w:after="120"/>
        <w:jc w:val="left"/>
        <w:rPr>
          <w:rFonts w:ascii="sans-serif" w:hAnsi="sans-serif"/>
          <w:b/>
          <w:color w:val="000000"/>
          <w:sz w:val="24"/>
        </w:rPr>
      </w:pPr>
      <w:r>
        <w:rPr>
          <w:rFonts w:ascii="sans-serif" w:hAnsi="sans-serif"/>
          <w:b/>
          <w:color w:val="000000"/>
          <w:sz w:val="24"/>
        </w:rPr>
        <w:t>Total Sales (In millions):</w:t>
      </w:r>
    </w:p>
    <w:tbl>
      <w:tblPr>
        <w:tblW w:w="10205" w:type="dxa"/>
        <w:jc w:val="left"/>
        <w:tblInd w:w="0" w:type="dxa"/>
        <w:tblLayout w:type="fixed"/>
        <w:tblCellMar>
          <w:top w:w="28" w:type="dxa"/>
          <w:left w:w="28" w:type="dxa"/>
          <w:bottom w:w="28" w:type="dxa"/>
          <w:right w:w="28" w:type="dxa"/>
        </w:tblCellMar>
      </w:tblPr>
      <w:tblGrid>
        <w:gridCol w:w="839"/>
        <w:gridCol w:w="329"/>
        <w:gridCol w:w="331"/>
        <w:gridCol w:w="241"/>
        <w:gridCol w:w="781"/>
        <w:gridCol w:w="109"/>
        <w:gridCol w:w="109"/>
        <w:gridCol w:w="109"/>
        <w:gridCol w:w="109"/>
        <w:gridCol w:w="241"/>
        <w:gridCol w:w="781"/>
        <w:gridCol w:w="109"/>
        <w:gridCol w:w="109"/>
        <w:gridCol w:w="109"/>
        <w:gridCol w:w="109"/>
        <w:gridCol w:w="270"/>
        <w:gridCol w:w="271"/>
        <w:gridCol w:w="697"/>
        <w:gridCol w:w="109"/>
        <w:gridCol w:w="109"/>
        <w:gridCol w:w="109"/>
        <w:gridCol w:w="241"/>
        <w:gridCol w:w="781"/>
        <w:gridCol w:w="109"/>
        <w:gridCol w:w="109"/>
        <w:gridCol w:w="109"/>
        <w:gridCol w:w="109"/>
        <w:gridCol w:w="241"/>
        <w:gridCol w:w="781"/>
        <w:gridCol w:w="109"/>
        <w:gridCol w:w="109"/>
        <w:gridCol w:w="109"/>
        <w:gridCol w:w="109"/>
        <w:gridCol w:w="269"/>
        <w:gridCol w:w="272"/>
        <w:gridCol w:w="768"/>
      </w:tblGrid>
      <w:tr>
        <w:trPr/>
        <w:tc>
          <w:tcPr>
            <w:tcW w:w="83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Year-to-Date</w:t>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 Change</w:t>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Stores - U.S. and Canada (a)</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w:t>
            </w:r>
          </w:p>
        </w:tc>
        <w:tc>
          <w:tcPr>
            <w:tcW w:w="6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w:t>
            </w:r>
          </w:p>
        </w:tc>
        <w:tc>
          <w:tcPr>
            <w:tcW w:w="7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Direct - U.S. and Canada</w:t>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w:t>
            </w:r>
          </w:p>
        </w:tc>
        <w:tc>
          <w:tcPr>
            <w:tcW w:w="69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0.8</w:t>
            </w:r>
          </w:p>
        </w:tc>
        <w:tc>
          <w:tcPr>
            <w:tcW w:w="768"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International and Other (b)</w:t>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24.9</w:t>
            </w:r>
          </w:p>
        </w:tc>
        <w:tc>
          <w:tcPr>
            <w:tcW w:w="69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18.1</w:t>
            </w:r>
          </w:p>
        </w:tc>
        <w:tc>
          <w:tcPr>
            <w:tcW w:w="768"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Bath &amp; Body Works</w:t>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1,514</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1,549</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(2.3</w:t>
            </w:r>
          </w:p>
        </w:tc>
        <w:tc>
          <w:tcPr>
            <w:tcW w:w="6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2,892</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2,974</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(2.7</w:t>
            </w:r>
          </w:p>
        </w:tc>
        <w:tc>
          <w:tcPr>
            <w:tcW w:w="7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r>
    </w:tbl>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________________</w:t>
      </w:r>
    </w:p>
    <w:p>
      <w:pPr>
        <w:pStyle w:val="TextBody"/>
        <w:bidi w:val="0"/>
        <w:spacing w:lineRule="auto" w:line="276" w:before="0" w:after="60"/>
        <w:ind w:left="0" w:right="0" w:hanging="225"/>
        <w:jc w:val="left"/>
        <w:rPr>
          <w:rFonts w:ascii="sans-serif" w:hAnsi="sans-serif"/>
          <w:b w:val="false"/>
          <w:color w:val="000000"/>
          <w:sz w:val="20"/>
        </w:rPr>
      </w:pPr>
      <w:r>
        <w:rPr>
          <w:rFonts w:ascii="sans-serif" w:hAnsi="sans-serif"/>
          <w:b w:val="false"/>
          <w:color w:val="000000"/>
          <w:sz w:val="20"/>
        </w:rPr>
        <w:t xml:space="preserve">(a)        Results include fulfilled buy online pick up in store orders. </w:t>
      </w:r>
    </w:p>
    <w:p>
      <w:pPr>
        <w:pStyle w:val="TextBody"/>
        <w:bidi w:val="0"/>
        <w:spacing w:lineRule="auto" w:line="276" w:before="0" w:after="60"/>
        <w:ind w:left="0" w:right="0" w:hanging="225"/>
        <w:jc w:val="left"/>
        <w:rPr>
          <w:rFonts w:ascii="sans-serif" w:hAnsi="sans-serif"/>
          <w:b w:val="false"/>
          <w:color w:val="000000"/>
          <w:sz w:val="20"/>
        </w:rPr>
      </w:pPr>
      <w:r>
        <w:rPr>
          <w:rFonts w:ascii="sans-serif" w:hAnsi="sans-serif"/>
          <w:b w:val="false"/>
          <w:color w:val="000000"/>
          <w:sz w:val="20"/>
        </w:rPr>
        <w:t xml:space="preserve">(b)    Results include royalties associated with franchised stores, as well as international and domestic wholesale sales. </w:t>
      </w:r>
    </w:p>
    <w:p>
      <w:pPr>
        <w:pStyle w:val="TextBody"/>
        <w:bidi w:val="0"/>
        <w:spacing w:before="0" w:after="120"/>
        <w:ind w:left="0" w:right="0" w:hanging="225"/>
        <w:jc w:val="left"/>
        <w:rPr/>
      </w:pPr>
      <w:r>
        <w:rPr/>
      </w:r>
    </w:p>
    <w:p>
      <w:pPr>
        <w:pStyle w:val="TextBody"/>
        <w:bidi w:val="0"/>
        <w:spacing w:lineRule="auto" w:line="276" w:before="0" w:after="120"/>
        <w:jc w:val="left"/>
        <w:rPr>
          <w:rFonts w:ascii="sans-serif" w:hAnsi="sans-serif"/>
          <w:b/>
          <w:color w:val="000000"/>
          <w:sz w:val="24"/>
        </w:rPr>
      </w:pPr>
      <w:r>
        <w:rPr>
          <w:rFonts w:ascii="sans-serif" w:hAnsi="sans-serif"/>
          <w:b/>
          <w:color w:val="000000"/>
          <w:sz w:val="24"/>
        </w:rPr>
        <w:t>Total Company-operated Stores:</w:t>
      </w:r>
    </w:p>
    <w:tbl>
      <w:tblPr>
        <w:tblW w:w="8090" w:type="dxa"/>
        <w:jc w:val="left"/>
        <w:tblInd w:w="0" w:type="dxa"/>
        <w:tblLayout w:type="fixed"/>
        <w:tblCellMar>
          <w:top w:w="28" w:type="dxa"/>
          <w:left w:w="28" w:type="dxa"/>
          <w:bottom w:w="28" w:type="dxa"/>
          <w:right w:w="28" w:type="dxa"/>
        </w:tblCellMar>
      </w:tblPr>
      <w:tblGrid>
        <w:gridCol w:w="1042"/>
        <w:gridCol w:w="918"/>
        <w:gridCol w:w="920"/>
        <w:gridCol w:w="399"/>
        <w:gridCol w:w="399"/>
        <w:gridCol w:w="401"/>
        <w:gridCol w:w="109"/>
        <w:gridCol w:w="109"/>
        <w:gridCol w:w="109"/>
        <w:gridCol w:w="315"/>
        <w:gridCol w:w="315"/>
        <w:gridCol w:w="316"/>
        <w:gridCol w:w="109"/>
        <w:gridCol w:w="109"/>
        <w:gridCol w:w="109"/>
        <w:gridCol w:w="280"/>
        <w:gridCol w:w="280"/>
        <w:gridCol w:w="281"/>
        <w:gridCol w:w="109"/>
        <w:gridCol w:w="109"/>
        <w:gridCol w:w="109"/>
        <w:gridCol w:w="390"/>
        <w:gridCol w:w="391"/>
        <w:gridCol w:w="462"/>
      </w:tblGrid>
      <w:tr>
        <w:trPr/>
        <w:tc>
          <w:tcPr>
            <w:tcW w:w="104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Stores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Stores</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1/31/2026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Opened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Closed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8/1/2026</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United States</w:t>
            </w:r>
          </w:p>
        </w:tc>
        <w:tc>
          <w:tcPr>
            <w:tcW w:w="7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1,814 </w:t>
            </w:r>
          </w:p>
        </w:tc>
        <w:tc>
          <w:tcPr>
            <w:tcW w:w="4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1,823 </w:t>
            </w:r>
          </w:p>
        </w:tc>
        <w:tc>
          <w:tcPr>
            <w:tcW w:w="4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Canada</w:t>
            </w:r>
          </w:p>
        </w:tc>
        <w:tc>
          <w:tcPr>
            <w:tcW w:w="7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114 </w:t>
            </w:r>
          </w:p>
        </w:tc>
        <w:tc>
          <w:tcPr>
            <w:tcW w:w="4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Bath &amp; Body Works</w:t>
            </w:r>
          </w:p>
        </w:tc>
        <w:tc>
          <w:tcPr>
            <w:tcW w:w="79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1,927</w:t>
            </w:r>
            <w:r>
              <w:rPr>
                <w:color w:val="000000"/>
              </w:rPr>
              <w:t> </w:t>
            </w:r>
          </w:p>
        </w:tc>
        <w:tc>
          <w:tcPr>
            <w:tcW w:w="4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37</w:t>
            </w:r>
            <w:r>
              <w:rPr>
                <w:color w:val="000000"/>
              </w:rPr>
              <w:t> </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(27)</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1,937</w:t>
            </w:r>
            <w:r>
              <w:rPr>
                <w:color w:val="000000"/>
              </w:rPr>
              <w:t> </w:t>
            </w:r>
          </w:p>
        </w:tc>
        <w:tc>
          <w:tcPr>
            <w:tcW w:w="4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88" w:before="0" w:after="120"/>
        <w:jc w:val="left"/>
        <w:rPr>
          <w:rFonts w:ascii="sans-serif" w:hAnsi="sans-serif"/>
          <w:b/>
          <w:color w:val="000000"/>
          <w:sz w:val="24"/>
        </w:rPr>
      </w:pPr>
      <w:r>
        <w:rPr>
          <w:rFonts w:ascii="sans-serif" w:hAnsi="sans-serif"/>
          <w:b/>
          <w:color w:val="000000"/>
          <w:sz w:val="24"/>
        </w:rPr>
        <w:t>Total Partner-operated Stores:</w:t>
      </w:r>
    </w:p>
    <w:tbl>
      <w:tblPr>
        <w:tblW w:w="7881" w:type="dxa"/>
        <w:jc w:val="left"/>
        <w:tblInd w:w="0" w:type="dxa"/>
        <w:tblLayout w:type="fixed"/>
        <w:tblCellMar>
          <w:top w:w="28" w:type="dxa"/>
          <w:left w:w="28" w:type="dxa"/>
          <w:bottom w:w="28" w:type="dxa"/>
          <w:right w:w="28" w:type="dxa"/>
        </w:tblCellMar>
      </w:tblPr>
      <w:tblGrid>
        <w:gridCol w:w="1016"/>
        <w:gridCol w:w="893"/>
        <w:gridCol w:w="895"/>
        <w:gridCol w:w="399"/>
        <w:gridCol w:w="399"/>
        <w:gridCol w:w="401"/>
        <w:gridCol w:w="109"/>
        <w:gridCol w:w="109"/>
        <w:gridCol w:w="109"/>
        <w:gridCol w:w="315"/>
        <w:gridCol w:w="315"/>
        <w:gridCol w:w="316"/>
        <w:gridCol w:w="109"/>
        <w:gridCol w:w="109"/>
        <w:gridCol w:w="109"/>
        <w:gridCol w:w="280"/>
        <w:gridCol w:w="280"/>
        <w:gridCol w:w="281"/>
        <w:gridCol w:w="109"/>
        <w:gridCol w:w="109"/>
        <w:gridCol w:w="109"/>
        <w:gridCol w:w="324"/>
        <w:gridCol w:w="324"/>
        <w:gridCol w:w="462"/>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Stores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Stores</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1/31/2026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Opened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Closed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8/1/2026</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International</w:t>
            </w:r>
          </w:p>
        </w:tc>
        <w:tc>
          <w:tcPr>
            <w:tcW w:w="7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536 </w:t>
            </w:r>
          </w:p>
        </w:tc>
        <w:tc>
          <w:tcPr>
            <w:tcW w:w="4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559 </w:t>
            </w:r>
          </w:p>
        </w:tc>
        <w:tc>
          <w:tcPr>
            <w:tcW w:w="4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International - Travel Retail</w:t>
            </w:r>
          </w:p>
        </w:tc>
        <w:tc>
          <w:tcPr>
            <w:tcW w:w="7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37 </w:t>
            </w:r>
          </w:p>
        </w:tc>
        <w:tc>
          <w:tcPr>
            <w:tcW w:w="4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International (a)</w:t>
            </w:r>
          </w:p>
        </w:tc>
        <w:tc>
          <w:tcPr>
            <w:tcW w:w="79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573</w:t>
            </w:r>
            <w:r>
              <w:rPr>
                <w:color w:val="000000"/>
              </w:rPr>
              <w:t> </w:t>
            </w:r>
          </w:p>
        </w:tc>
        <w:tc>
          <w:tcPr>
            <w:tcW w:w="4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25</w:t>
            </w:r>
            <w:r>
              <w:rPr>
                <w:color w:val="000000"/>
              </w:rPr>
              <w:t> </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596</w:t>
            </w:r>
            <w:r>
              <w:rPr>
                <w:color w:val="000000"/>
              </w:rPr>
              <w:t> </w:t>
            </w:r>
          </w:p>
        </w:tc>
        <w:tc>
          <w:tcPr>
            <w:tcW w:w="4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20"/>
        <w:ind w:left="0" w:right="0" w:hanging="225"/>
        <w:jc w:val="left"/>
        <w:rPr>
          <w:rFonts w:ascii="sans-serif" w:hAnsi="sans-serif"/>
          <w:b w:val="false"/>
          <w:color w:val="000000"/>
          <w:sz w:val="16"/>
        </w:rPr>
      </w:pPr>
      <w:r>
        <w:rPr>
          <w:rFonts w:ascii="sans-serif" w:hAnsi="sans-serif"/>
          <w:b w:val="false"/>
          <w:color w:val="000000"/>
          <w:sz w:val="16"/>
        </w:rPr>
        <w:t>________________</w:t>
      </w:r>
    </w:p>
    <w:p>
      <w:pPr>
        <w:pStyle w:val="TextBody"/>
        <w:bidi w:val="0"/>
        <w:spacing w:lineRule="auto" w:line="276" w:before="0" w:after="0"/>
        <w:ind w:left="0" w:right="0" w:hanging="225"/>
        <w:jc w:val="left"/>
        <w:rPr>
          <w:rFonts w:ascii="sans-serif" w:hAnsi="sans-serif"/>
          <w:b w:val="false"/>
          <w:color w:val="000000"/>
          <w:sz w:val="20"/>
        </w:rPr>
      </w:pPr>
      <w:r>
        <w:rPr>
          <w:rFonts w:ascii="sans-serif" w:hAnsi="sans-serif"/>
          <w:b w:val="false"/>
          <w:color w:val="000000"/>
          <w:sz w:val="20"/>
        </w:rPr>
        <w:t>(a)        Includes store locations only and does not include kiosks, shop-in-shops, gondola or beauty counter locations.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13360"/>
                <wp:effectExtent l="0" t="0" r="0" b="0"/>
                <wp:wrapNone/>
                <wp:docPr id="8" name="Frame7"/>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821"/>
        <w:gridCol w:w="1586"/>
        <w:gridCol w:w="1607"/>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26"/>
        <w:gridCol w:w="706"/>
        <w:gridCol w:w="155"/>
      </w:tblGrid>
      <w:tr>
        <w:trPr/>
        <w:tc>
          <w:tcPr>
            <w:tcW w:w="1821"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BATH &amp; BODY WORKS,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CONSOLIDATED STATEMENTS OF INCOME</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(Unaudited)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(In millions, except per share amounts)</w:t>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Year-to-Date</w:t>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Sales</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1,514 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2,974 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Costs of Goods Sold, Buying and Occupancy</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(1,687)</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1,287 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General, Administrative and Store Operating Expenses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(920)</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Income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367 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Income, Net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Before Income Taxes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241 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Provision for Income Taxes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169 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 per Diluted Share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 Average Diluted Shares Outstanding</w:t>
            </w:r>
          </w:p>
        </w:tc>
        <w:tc>
          <w:tcPr>
            <w:tcW w:w="932"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202 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211 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202 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213 </w:t>
            </w:r>
          </w:p>
        </w:tc>
        <w:tc>
          <w:tcPr>
            <w:tcW w:w="155"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13360"/>
                <wp:effectExtent l="0" t="0" r="0" b="0"/>
                <wp:wrapNone/>
                <wp:docPr id="9" name="Frame8"/>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p>
      <w:pPr>
        <w:pStyle w:val="TextBody"/>
        <w:bidi w:val="0"/>
        <w:spacing w:lineRule="auto" w:line="288" w:before="100" w:after="283"/>
        <w:jc w:val="center"/>
        <w:rPr>
          <w:rFonts w:ascii="sans-serif" w:hAnsi="sans-serif"/>
          <w:b/>
          <w:color w:val="000000"/>
          <w:sz w:val="20"/>
        </w:rPr>
      </w:pPr>
      <w:r>
        <w:rPr>
          <w:rFonts w:ascii="sans-serif" w:hAnsi="sans-serif"/>
          <w:b/>
          <w:color w:val="000000"/>
          <w:sz w:val="20"/>
        </w:rPr>
        <w:t>BATH &amp; BODY WORKS,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CONSOLIDATED CONDENSED BALANCE SHEETS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(Unaudited)</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millions)</w:t>
      </w:r>
    </w:p>
    <w:p>
      <w:pPr>
        <w:pStyle w:val="TextBody"/>
        <w:bidi w:val="0"/>
        <w:spacing w:before="0" w:after="0"/>
        <w:jc w:val="center"/>
        <w:rPr/>
      </w:pPr>
      <w:r>
        <w:rPr/>
      </w:r>
    </w:p>
    <w:tbl>
      <w:tblPr>
        <w:tblW w:w="6609" w:type="dxa"/>
        <w:jc w:val="left"/>
        <w:tblInd w:w="0" w:type="dxa"/>
        <w:tblLayout w:type="fixed"/>
        <w:tblCellMar>
          <w:top w:w="28" w:type="dxa"/>
          <w:left w:w="28" w:type="dxa"/>
          <w:bottom w:w="28" w:type="dxa"/>
          <w:right w:w="28" w:type="dxa"/>
        </w:tblCellMar>
      </w:tblPr>
      <w:tblGrid>
        <w:gridCol w:w="1420"/>
        <w:gridCol w:w="1251"/>
        <w:gridCol w:w="1258"/>
        <w:gridCol w:w="250"/>
        <w:gridCol w:w="783"/>
        <w:gridCol w:w="121"/>
        <w:gridCol w:w="109"/>
        <w:gridCol w:w="109"/>
        <w:gridCol w:w="109"/>
        <w:gridCol w:w="249"/>
        <w:gridCol w:w="780"/>
        <w:gridCol w:w="170"/>
      </w:tblGrid>
      <w:tr>
        <w:trPr/>
        <w:tc>
          <w:tcPr>
            <w:tcW w:w="142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August 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August 2,</w:t>
              <w:br/>
              <w:t>2025</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ASSETS</w:t>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Assets:</w:t>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w:t>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364 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Receivable, Net</w:t>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Inventories</w:t>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977 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Easton Assets Held for Sale</w:t>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w:t>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153 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Current Assets</w:t>
            </w:r>
          </w:p>
        </w:tc>
        <w:tc>
          <w:tcPr>
            <w:tcW w:w="10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2,050 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1,706 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Property and Equipment, Net</w:t>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1,124 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Lease Assets</w:t>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984 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Goodwill</w:t>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628 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Trade Name</w:t>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Deferred Income Taxes</w:t>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133 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Assets</w:t>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Assets</w:t>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5,156 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4,814 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LIABILITIES AND EQUITY (DEFICIT)</w:t>
            </w:r>
          </w:p>
        </w:tc>
        <w:tc>
          <w:tcPr>
            <w:tcW w:w="11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Liabilities:</w:t>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Payable</w:t>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567 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Expenses and Other</w:t>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541 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Debt</w:t>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Operating Lease Liabilities</w:t>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Taxes</w:t>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Current Liabilities</w:t>
            </w:r>
          </w:p>
        </w:tc>
        <w:tc>
          <w:tcPr>
            <w:tcW w:w="10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1,707 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1,303 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Deferred Income Taxes</w:t>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Debt</w:t>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3,366 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3,888 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Operating Lease Liabilities</w:t>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912 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Long-term Liabilities</w:t>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235 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Equity (Deficit)</w:t>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(1,054)</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(1,547)</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Liabilities and Equity (Deficit)</w:t>
            </w:r>
          </w:p>
        </w:tc>
        <w:tc>
          <w:tcPr>
            <w:tcW w:w="2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5,156 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4,814 </w:t>
            </w:r>
          </w:p>
        </w:tc>
        <w:tc>
          <w:tcPr>
            <w:tcW w:w="1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13360"/>
                <wp:effectExtent l="0" t="0" r="0" b="0"/>
                <wp:wrapNone/>
                <wp:docPr id="10" name="Frame9"/>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BATH &amp; BODY WORKS,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CONSOLIDATED STATEMENTS OF CASH FLOWS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(Unaudited)</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2944"/>
        <w:gridCol w:w="2575"/>
        <w:gridCol w:w="2590"/>
        <w:gridCol w:w="226"/>
        <w:gridCol w:w="526"/>
        <w:gridCol w:w="109"/>
        <w:gridCol w:w="109"/>
        <w:gridCol w:w="109"/>
        <w:gridCol w:w="109"/>
        <w:gridCol w:w="226"/>
        <w:gridCol w:w="526"/>
        <w:gridCol w:w="156"/>
      </w:tblGrid>
      <w:tr>
        <w:trPr/>
        <w:tc>
          <w:tcPr>
            <w:tcW w:w="2944"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Year-to-Date</w:t>
            </w:r>
          </w:p>
        </w:tc>
      </w:tr>
      <w:tr>
        <w:trPr/>
        <w:tc>
          <w:tcPr>
            <w:tcW w:w="8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Operating Activities:</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Adjustments to Reconcile Net Income to Net Cash Provided by Operating Activities: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of Long-lived Assets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Share-based Compensation Expense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Extinguishment of Debt</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Tax Benefit from Resolution of Certain Tax Matters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Changes in Assets and Liabilities: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Receivable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Inventories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Payable, Accrued Expenses and Other</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Taxes Payable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Assets and Liabilities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Provided by Operating Activities</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145 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Investing Activities: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Capital Expenditures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Sale of Non-core Asset</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Investing Activities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Used for Investing Activities</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Financing Activities: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Payments for Long-term Debt</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Repurchases of Common Stock</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Dividends Paid</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Financing Activities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Used for Financing Activities</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(362)</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Effects of Exchange Rate Changes on Cash and Cash Equivalents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Decrease in Cash and Cash Equivalents</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(310)</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 Beginning of Year</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674 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 End of Period</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364 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13360"/>
                <wp:effectExtent l="0" t="0" r="0" b="0"/>
                <wp:wrapNone/>
                <wp:docPr id="11" name="Frame10"/>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469"/>
        <w:gridCol w:w="1081"/>
        <w:gridCol w:w="1088"/>
        <w:gridCol w:w="314"/>
        <w:gridCol w:w="817"/>
        <w:gridCol w:w="151"/>
        <w:gridCol w:w="151"/>
        <w:gridCol w:w="151"/>
        <w:gridCol w:w="151"/>
        <w:gridCol w:w="314"/>
        <w:gridCol w:w="817"/>
        <w:gridCol w:w="151"/>
        <w:gridCol w:w="151"/>
        <w:gridCol w:w="151"/>
        <w:gridCol w:w="151"/>
        <w:gridCol w:w="314"/>
        <w:gridCol w:w="817"/>
        <w:gridCol w:w="151"/>
        <w:gridCol w:w="151"/>
        <w:gridCol w:w="151"/>
        <w:gridCol w:w="151"/>
        <w:gridCol w:w="314"/>
        <w:gridCol w:w="817"/>
        <w:gridCol w:w="231"/>
      </w:tblGrid>
      <w:tr>
        <w:trPr/>
        <w:tc>
          <w:tcPr>
            <w:tcW w:w="146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BATH &amp; BODY WORKS,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ADJUSTED FINANCIAL INFORMATION</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color w:val="000000"/>
                <w:sz w:val="20"/>
              </w:rPr>
              <w:t>(Unaudited)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(Dollars in millions, except per share amounts)</w:t>
            </w:r>
          </w:p>
        </w:tc>
      </w:tr>
      <w:tr>
        <w:trPr/>
        <w:tc>
          <w:tcPr>
            <w:tcW w:w="3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Second Quarter</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Year-to-Date</w:t>
            </w:r>
          </w:p>
        </w:tc>
      </w:tr>
      <w:tr>
        <w:trPr/>
        <w:tc>
          <w:tcPr>
            <w:tcW w:w="3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u w:val="single"/>
              </w:rPr>
            </w:pPr>
            <w:r>
              <w:rPr>
                <w:rFonts w:ascii="sans-serif" w:hAnsi="sans-serif"/>
                <w:b/>
                <w:color w:val="000000"/>
                <w:sz w:val="20"/>
                <w:u w:val="single"/>
              </w:rPr>
              <w:t>Reconciliation of Reported Operating Income to Adjusted Operating Income</w:t>
            </w:r>
          </w:p>
        </w:tc>
      </w:tr>
      <w:tr>
        <w:trPr/>
        <w:tc>
          <w:tcPr>
            <w:tcW w:w="3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Reported Operating Income</w:t>
            </w:r>
          </w:p>
        </w:tc>
        <w:tc>
          <w:tcPr>
            <w:tcW w:w="31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1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216 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1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1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1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367 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Interchange Fee Settlements</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Business Transformation Activities</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Leadership Transition Costs</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Operating Income</w:t>
            </w:r>
          </w:p>
        </w:tc>
        <w:tc>
          <w:tcPr>
            <w:tcW w:w="3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172 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376 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382 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u w:val="single"/>
              </w:rPr>
            </w:pPr>
            <w:r>
              <w:rPr>
                <w:rFonts w:ascii="sans-serif" w:hAnsi="sans-serif"/>
                <w:b/>
                <w:color w:val="000000"/>
                <w:sz w:val="20"/>
                <w:u w:val="single"/>
              </w:rPr>
              <w:t>Reconciliation of Reported Net Income to Adjusted Net Income</w:t>
            </w:r>
          </w:p>
        </w:tc>
      </w:tr>
      <w:tr>
        <w:trPr/>
        <w:tc>
          <w:tcPr>
            <w:tcW w:w="3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Reported Net Income</w:t>
            </w:r>
          </w:p>
        </w:tc>
        <w:tc>
          <w:tcPr>
            <w:tcW w:w="31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1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1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1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301 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1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169 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Interchange Fee Settlements</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Business Transformation Activities</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Leadership Transition Costs</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Extinguishment of Debt</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Sale of Non-core Asset</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Tax Effect of Adjustments</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Tax Benefit from Resolution of Certain Tax Matters</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Net Income</w:t>
            </w:r>
          </w:p>
        </w:tc>
        <w:tc>
          <w:tcPr>
            <w:tcW w:w="3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190 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183 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u w:val="single"/>
              </w:rPr>
            </w:pPr>
            <w:r>
              <w:rPr>
                <w:rFonts w:ascii="sans-serif" w:hAnsi="sans-serif"/>
                <w:b/>
                <w:color w:val="000000"/>
                <w:sz w:val="20"/>
                <w:u w:val="single"/>
              </w:rPr>
              <w:t>Reconciliation of Reported Net Income per Diluted Share to Adjusted Net Income per Diluted Share</w:t>
            </w:r>
          </w:p>
        </w:tc>
      </w:tr>
      <w:tr>
        <w:trPr/>
        <w:tc>
          <w:tcPr>
            <w:tcW w:w="3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Reported Net Income per Diluted Share</w:t>
            </w:r>
          </w:p>
        </w:tc>
        <w:tc>
          <w:tcPr>
            <w:tcW w:w="31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1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1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0.30 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1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1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0.79 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Interchange Fee Settlements</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(0.43)</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Business Transformation Activities</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0.05 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0.09 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Leadership Transition Costs</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0.07 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Extinguishment of Debt</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0.04 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Sale of Non-core Asset</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(0.02)</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Tax Effect of Adjustments</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(0.01)</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(0.01)</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(0.01)</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bookmarkStart w:id="0" w:name="i75c3e55f3c8349a0b1c365383b0110b3_35-0-2"/>
            <w:bookmarkEnd w:id="0"/>
            <w:r>
              <w:rPr>
                <w:rFonts w:ascii="sans-serif" w:hAnsi="sans-serif"/>
                <w:b w:val="false"/>
                <w:color w:val="000000"/>
                <w:sz w:val="20"/>
              </w:rPr>
              <w:t>Tax Benefit from Resolution of Certain Tax Matters</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(0.31)</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Net Income per Diluted Share</w:t>
            </w:r>
          </w:p>
        </w:tc>
        <w:tc>
          <w:tcPr>
            <w:tcW w:w="3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0.62 </w:t>
            </w:r>
          </w:p>
        </w:tc>
        <w:tc>
          <w:tcPr>
            <w:tcW w:w="1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0.37 </w:t>
            </w:r>
          </w:p>
        </w:tc>
        <w:tc>
          <w:tcPr>
            <w:tcW w:w="1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0.94 </w:t>
            </w:r>
          </w:p>
        </w:tc>
        <w:tc>
          <w:tcPr>
            <w:tcW w:w="1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0.86 </w:t>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 xml:space="preserve">See </w:t>
      </w:r>
      <w:bookmarkStart w:id="1" w:name="id200b88f3f6f43f4aa0503cb000fa600_51"/>
      <w:bookmarkEnd w:id="1"/>
      <w:r>
        <w:rPr>
          <w:rFonts w:ascii="sans-serif" w:hAnsi="sans-serif"/>
          <w:b w:val="false"/>
          <w:color w:val="000000"/>
          <w:sz w:val="20"/>
        </w:rPr>
        <w:t>Notes to Adjusted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13360"/>
                <wp:effectExtent l="0" t="0" r="0" b="0"/>
                <wp:wrapNone/>
                <wp:docPr id="12" name="Frame1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34"/>
        <w:gridCol w:w="796"/>
        <w:gridCol w:w="801"/>
        <w:gridCol w:w="329"/>
        <w:gridCol w:w="854"/>
        <w:gridCol w:w="158"/>
        <w:gridCol w:w="158"/>
        <w:gridCol w:w="158"/>
        <w:gridCol w:w="158"/>
        <w:gridCol w:w="329"/>
        <w:gridCol w:w="854"/>
        <w:gridCol w:w="158"/>
        <w:gridCol w:w="158"/>
        <w:gridCol w:w="158"/>
        <w:gridCol w:w="158"/>
        <w:gridCol w:w="329"/>
        <w:gridCol w:w="854"/>
        <w:gridCol w:w="158"/>
        <w:gridCol w:w="158"/>
        <w:gridCol w:w="158"/>
        <w:gridCol w:w="158"/>
        <w:gridCol w:w="430"/>
        <w:gridCol w:w="854"/>
        <w:gridCol w:w="158"/>
        <w:gridCol w:w="109"/>
        <w:gridCol w:w="109"/>
        <w:gridCol w:w="109"/>
        <w:gridCol w:w="160"/>
      </w:tblGrid>
      <w:tr>
        <w:trPr/>
        <w:tc>
          <w:tcPr>
            <w:tcW w:w="123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BATH &amp; BODY WORKS,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FORECASTED ADJUSTED FINANCIAL INFORMATION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24"/>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color w:val="000000"/>
                <w:sz w:val="20"/>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(In millions,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Third Quarter</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Full-Year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7"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u w:val="single"/>
              </w:rPr>
            </w:pPr>
            <w:r>
              <w:rPr>
                <w:rFonts w:ascii="sans-serif" w:hAnsi="sans-serif"/>
                <w:b/>
                <w:color w:val="000000"/>
                <w:sz w:val="20"/>
                <w:u w:val="single"/>
              </w:rPr>
              <w:t>Reconciliation of Forecasted Net Income Per Diluted Share to Forecasted Adjusted Net Income per Diluted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Low</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High</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Low</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High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Forecasted Net Income per Diluted Share</w:t>
            </w:r>
          </w:p>
        </w:tc>
        <w:tc>
          <w:tcPr>
            <w:tcW w:w="3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0.05 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0.10 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3.13 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3.33 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Interchange Fee Settlements</w:t>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(0.43)</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(0.43)</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Business Transformation Activities</w:t>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Extinguishment of Debt</w:t>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Sale of Non-core Asset</w:t>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(0.02)</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(0.02)</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Tax Effect of Adjustments</w:t>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(0.01)</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(0.01)</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Tax Benefit from Resolution of Certain Tax Matters</w:t>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(0.31)</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(0.31)</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Forecasted Adjusted Net Income Per Diluted Share</w:t>
            </w:r>
          </w:p>
        </w:tc>
        <w:tc>
          <w:tcPr>
            <w:tcW w:w="3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0.07 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0.12 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2.60 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2.80 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Full-Year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80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u w:val="single"/>
              </w:rPr>
            </w:pPr>
            <w:r>
              <w:rPr>
                <w:rFonts w:ascii="sans-serif" w:hAnsi="sans-serif"/>
                <w:b/>
                <w:color w:val="000000"/>
                <w:sz w:val="20"/>
                <w:u w:val="single"/>
              </w:rPr>
              <w:t>Reconciliation of Forecasted Net Cash Provided by Operating Activities to Forecasted Free Cash Flow</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Forecasted Net Cash Provided by Operating Activities    </w:t>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890 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Forecasted Capital Expenditures</w:t>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(240)</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Forecasted Free Cash Flow    </w:t>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650 </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jc w:val="center"/>
        <w:rPr>
          <w:rFonts w:ascii="sans-serif" w:hAnsi="sans-serif"/>
          <w:b w:val="false"/>
          <w:color w:val="000000"/>
          <w:sz w:val="20"/>
        </w:rPr>
      </w:pPr>
      <w:r>
        <w:rPr>
          <w:rFonts w:ascii="sans-serif" w:hAnsi="sans-serif"/>
          <w:b w:val="false"/>
          <w:color w:val="000000"/>
          <w:sz w:val="20"/>
        </w:rPr>
        <w:t>See Notes to Adjusted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13360"/>
                <wp:effectExtent l="0" t="0" r="0" b="0"/>
                <wp:wrapNone/>
                <wp:docPr id="13" name="Frame1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BATH &amp; BODY WORKS,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NOTES TO ADJUSTED FINANCIAL INFORMATION</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(Unaudited)</w:t>
      </w:r>
    </w:p>
    <w:p>
      <w:pPr>
        <w:pStyle w:val="TextBody"/>
        <w:bidi w:val="0"/>
        <w:spacing w:before="0" w:after="0"/>
        <w:jc w:val="left"/>
        <w:rPr/>
      </w:pPr>
      <w:r>
        <w:rPr/>
      </w:r>
    </w:p>
    <w:p>
      <w:pPr>
        <w:pStyle w:val="TextBody"/>
        <w:bidi w:val="0"/>
        <w:spacing w:lineRule="auto" w:line="288" w:before="180" w:after="180"/>
        <w:jc w:val="left"/>
        <w:rPr>
          <w:rFonts w:ascii="sans-serif" w:hAnsi="sans-serif"/>
          <w:b w:val="false"/>
          <w:color w:val="000000"/>
          <w:sz w:val="20"/>
        </w:rPr>
      </w:pPr>
      <w:r>
        <w:rPr>
          <w:rFonts w:ascii="sans-serif" w:hAnsi="sans-serif"/>
          <w:b w:val="false"/>
          <w:color w:val="000000"/>
          <w:sz w:val="20"/>
        </w:rPr>
        <w:t>The adjusted financial information should not be construed as an alternative to the results determined in accordance with generally accepted accounting principles. Further, the company’s definitions of adjusted income information may differ from similarly titled measures used by other companies. Management believes that the presentation of adjusted financial information provides additional information to investors to facilitate the comparison of past and present operations. While it is not possible to predict future results, management believes the adjusted financial information is useful for the assessment of the operations of the company because the adjusted items are not indicative of the company’s ongoing operations due to their size and nature. Additionally, management uses adjusted financial information as key performance measures for the purpose of evaluating performance internally. The adjusted financial information should be read in conjunction with the company’s historical financial statements and notes thereto contained in the company’s Quarterly Reports on Form 10-Q and Annual Report on Form 10-K.</w:t>
      </w:r>
    </w:p>
    <w:p>
      <w:pPr>
        <w:pStyle w:val="TextBody"/>
        <w:bidi w:val="0"/>
        <w:spacing w:lineRule="auto" w:line="288" w:before="180" w:after="180"/>
        <w:jc w:val="left"/>
        <w:rPr>
          <w:rFonts w:ascii="sans-serif" w:hAnsi="sans-serif"/>
          <w:b w:val="false"/>
          <w:color w:val="000000"/>
          <w:sz w:val="20"/>
        </w:rPr>
      </w:pPr>
      <w:r>
        <w:rPr>
          <w:rFonts w:ascii="sans-serif" w:hAnsi="sans-serif"/>
          <w:b w:val="false"/>
          <w:color w:val="000000"/>
          <w:sz w:val="20"/>
        </w:rPr>
        <w:t>The “Adjusted Financial Information” provided in the attached reflects the following non-GAAP financial measures:</w:t>
      </w:r>
    </w:p>
    <w:p>
      <w:pPr>
        <w:pStyle w:val="TextBody"/>
        <w:bidi w:val="0"/>
        <w:spacing w:lineRule="auto" w:line="288" w:before="180" w:after="180"/>
        <w:jc w:val="left"/>
        <w:rPr>
          <w:rFonts w:ascii="sans-serif" w:hAnsi="sans-serif"/>
          <w:b w:val="false"/>
          <w:color w:val="000000"/>
          <w:sz w:val="20"/>
          <w:u w:val="single"/>
        </w:rPr>
      </w:pPr>
      <w:r>
        <w:rPr>
          <w:rFonts w:ascii="sans-serif" w:hAnsi="sans-serif"/>
          <w:b w:val="false"/>
          <w:color w:val="000000"/>
          <w:sz w:val="20"/>
          <w:u w:val="single"/>
        </w:rPr>
        <w:t>Fiscal 2026</w:t>
      </w:r>
    </w:p>
    <w:p>
      <w:pPr>
        <w:pStyle w:val="TextBody"/>
        <w:bidi w:val="0"/>
        <w:spacing w:lineRule="auto" w:line="288" w:before="180" w:after="180"/>
        <w:jc w:val="left"/>
        <w:rPr>
          <w:rFonts w:ascii="sans-serif" w:hAnsi="sans-serif"/>
          <w:b w:val="false"/>
          <w:color w:val="000000"/>
          <w:sz w:val="20"/>
        </w:rPr>
      </w:pPr>
      <w:r>
        <w:rPr>
          <w:rFonts w:ascii="sans-serif" w:hAnsi="sans-serif"/>
          <w:b w:val="false"/>
          <w:color w:val="000000"/>
          <w:sz w:val="20"/>
        </w:rPr>
        <w:t>In the second quarter of 2026, adjusted results exclude the following:</w:t>
      </w:r>
    </w:p>
    <w:p>
      <w:pPr>
        <w:pStyle w:val="TextBody"/>
        <w:bidi w:val="0"/>
        <w:spacing w:lineRule="auto" w:line="288" w:before="180" w:after="60"/>
        <w:ind w:left="0" w:right="0" w:hanging="360"/>
        <w:jc w:val="left"/>
        <w:rPr/>
      </w:pPr>
      <w:r>
        <w:rPr>
          <w:color w:val="000000"/>
        </w:rPr>
        <w:t>•</w:t>
      </w:r>
      <w:r>
        <w:rPr>
          <w:rFonts w:ascii="sans-serif" w:hAnsi="sans-serif"/>
          <w:b w:val="false"/>
          <w:color w:val="000000"/>
          <w:sz w:val="20"/>
        </w:rPr>
        <w:t>Aggregate pre-tax costs of $9 million ($7 million after tax), included in General, Administrative and Store Operating Expenses, resulting from business transformation activities in connection with the Consumer First Formula;</w:t>
      </w:r>
    </w:p>
    <w:p>
      <w:pPr>
        <w:pStyle w:val="TextBody"/>
        <w:bidi w:val="0"/>
        <w:spacing w:lineRule="auto" w:line="288" w:before="180" w:after="180"/>
        <w:jc w:val="left"/>
        <w:rPr>
          <w:rFonts w:ascii="sans-serif" w:hAnsi="sans-serif"/>
          <w:b w:val="false"/>
          <w:color w:val="000000"/>
          <w:sz w:val="20"/>
        </w:rPr>
      </w:pPr>
      <w:r>
        <w:rPr>
          <w:rFonts w:ascii="sans-serif" w:hAnsi="sans-serif"/>
          <w:b w:val="false"/>
          <w:color w:val="000000"/>
          <w:sz w:val="20"/>
        </w:rPr>
        <w:t>In the first quarter of 2026, adjusted results exclude the following:</w:t>
      </w:r>
    </w:p>
    <w:p>
      <w:pPr>
        <w:pStyle w:val="TextBody"/>
        <w:bidi w:val="0"/>
        <w:spacing w:lineRule="auto" w:line="288" w:before="0" w:after="60"/>
        <w:ind w:left="0" w:right="0" w:hanging="360"/>
        <w:jc w:val="left"/>
        <w:rPr/>
      </w:pPr>
      <w:r>
        <w:rPr>
          <w:color w:val="000000"/>
        </w:rPr>
        <w:t>•</w:t>
      </w:r>
      <w:r>
        <w:rPr>
          <w:rFonts w:ascii="sans-serif" w:hAnsi="sans-serif"/>
          <w:b w:val="false"/>
          <w:color w:val="000000"/>
          <w:sz w:val="20"/>
        </w:rPr>
        <w:t>An $88 million pre-tax gain ($66 million after tax), included as a reduction to General, Administrative and Store Operating Expenses, related to cash proceeds received, net of legal fees, for favorable settlements of payment card interchange fee litigation;</w:t>
      </w:r>
    </w:p>
    <w:p>
      <w:pPr>
        <w:pStyle w:val="TextBody"/>
        <w:bidi w:val="0"/>
        <w:spacing w:lineRule="auto" w:line="288" w:before="0" w:after="60"/>
        <w:ind w:left="0" w:right="0" w:hanging="360"/>
        <w:jc w:val="left"/>
        <w:rPr/>
      </w:pPr>
      <w:r>
        <w:rPr>
          <w:color w:val="000000"/>
        </w:rPr>
        <w:t>•</w:t>
      </w:r>
      <w:r>
        <w:rPr>
          <w:rFonts w:ascii="sans-serif" w:hAnsi="sans-serif"/>
          <w:b w:val="false"/>
          <w:color w:val="000000"/>
          <w:sz w:val="20"/>
        </w:rPr>
        <w:t>Aggregate pre-tax costs of $8 million ($6 million after tax), primarily included in General, Administrative and Store Operating Expenses, resulting from business transformation activities in connection with the Consumer First Formula;</w:t>
      </w:r>
    </w:p>
    <w:p>
      <w:pPr>
        <w:pStyle w:val="TextBody"/>
        <w:bidi w:val="0"/>
        <w:spacing w:lineRule="auto" w:line="288" w:before="0" w:after="60"/>
        <w:ind w:left="0" w:right="0" w:hanging="360"/>
        <w:jc w:val="left"/>
        <w:rPr/>
      </w:pPr>
      <w:r>
        <w:rPr>
          <w:color w:val="000000"/>
        </w:rPr>
        <w:t>•</w:t>
      </w:r>
      <w:r>
        <w:rPr>
          <w:rFonts w:ascii="sans-serif" w:hAnsi="sans-serif"/>
          <w:b w:val="false"/>
          <w:color w:val="000000"/>
          <w:sz w:val="20"/>
        </w:rPr>
        <w:t>An $8 million pre-tax loss ($6 million after tax), included in Other Income, Net, related to the repurchase and early extinguishment of outstanding debt;</w:t>
      </w:r>
    </w:p>
    <w:p>
      <w:pPr>
        <w:pStyle w:val="TextBody"/>
        <w:bidi w:val="0"/>
        <w:spacing w:lineRule="auto" w:line="288" w:before="0" w:after="60"/>
        <w:ind w:left="0" w:right="0" w:hanging="360"/>
        <w:jc w:val="left"/>
        <w:rPr/>
      </w:pPr>
      <w:r>
        <w:rPr>
          <w:color w:val="000000"/>
        </w:rPr>
        <w:t>•</w:t>
      </w:r>
      <w:r>
        <w:rPr>
          <w:rFonts w:ascii="sans-serif" w:hAnsi="sans-serif"/>
          <w:b w:val="false"/>
          <w:color w:val="000000"/>
          <w:sz w:val="20"/>
        </w:rPr>
        <w:t>A $3 million pre-tax gain ($3 million after tax), included in Other Income, Net, related to the sale of a non-core asset; and</w:t>
      </w:r>
    </w:p>
    <w:p>
      <w:pPr>
        <w:pStyle w:val="TextBody"/>
        <w:bidi w:val="0"/>
        <w:spacing w:lineRule="auto" w:line="288" w:before="0" w:after="60"/>
        <w:ind w:left="0" w:right="0" w:hanging="360"/>
        <w:jc w:val="left"/>
        <w:rPr/>
      </w:pPr>
      <w:r>
        <w:rPr>
          <w:color w:val="000000"/>
        </w:rPr>
        <w:t>•</w:t>
      </w:r>
      <w:r>
        <w:rPr>
          <w:rFonts w:ascii="sans-serif" w:hAnsi="sans-serif"/>
          <w:b w:val="false"/>
          <w:color w:val="000000"/>
          <w:sz w:val="20"/>
        </w:rPr>
        <w:t>A $62 million tax benefit associated with the resolution of certain tax matters.</w:t>
      </w:r>
    </w:p>
    <w:p>
      <w:pPr>
        <w:pStyle w:val="TextBody"/>
        <w:bidi w:val="0"/>
        <w:spacing w:lineRule="auto" w:line="288" w:before="180" w:after="180"/>
        <w:jc w:val="left"/>
        <w:rPr>
          <w:rFonts w:ascii="sans-serif" w:hAnsi="sans-serif"/>
          <w:b w:val="false"/>
          <w:color w:val="000000"/>
          <w:sz w:val="20"/>
        </w:rPr>
      </w:pPr>
      <w:r>
        <w:rPr>
          <w:rFonts w:ascii="sans-serif" w:hAnsi="sans-serif"/>
          <w:b w:val="false"/>
          <w:color w:val="000000"/>
          <w:sz w:val="20"/>
        </w:rPr>
        <w:t>The “Forecasted Adjusted Financial Information” provided in the attached reflects the adjusted items referenced above, as well as a $5 million pre-tax loss ($4 million after tax) which will be included in Other Income, Net, related to the repurchase and early extinguishment of outstanding debt completed on August 19, 2026.</w:t>
      </w:r>
    </w:p>
    <w:p>
      <w:pPr>
        <w:pStyle w:val="TextBody"/>
        <w:bidi w:val="0"/>
        <w:spacing w:lineRule="auto" w:line="288" w:before="180" w:after="180"/>
        <w:jc w:val="left"/>
        <w:rPr>
          <w:rFonts w:ascii="sans-serif" w:hAnsi="sans-serif"/>
          <w:b w:val="false"/>
          <w:color w:val="000000"/>
          <w:sz w:val="20"/>
          <w:u w:val="single"/>
        </w:rPr>
      </w:pPr>
      <w:r>
        <w:rPr>
          <w:rFonts w:ascii="sans-serif" w:hAnsi="sans-serif"/>
          <w:b w:val="false"/>
          <w:color w:val="000000"/>
          <w:sz w:val="20"/>
          <w:u w:val="single"/>
        </w:rPr>
        <w:t>Fiscal 2025</w:t>
      </w:r>
    </w:p>
    <w:p>
      <w:pPr>
        <w:pStyle w:val="TextBody"/>
        <w:bidi w:val="0"/>
        <w:spacing w:lineRule="auto" w:line="288" w:before="180" w:after="180"/>
        <w:jc w:val="left"/>
        <w:rPr>
          <w:rFonts w:ascii="sans-serif" w:hAnsi="sans-serif"/>
          <w:b w:val="false"/>
          <w:color w:val="000000"/>
          <w:sz w:val="20"/>
        </w:rPr>
      </w:pPr>
      <w:r>
        <w:rPr>
          <w:rFonts w:ascii="sans-serif" w:hAnsi="sans-serif"/>
          <w:b w:val="false"/>
          <w:color w:val="000000"/>
          <w:sz w:val="20"/>
        </w:rPr>
        <w:t>In the second quarter of 2025, adjusted results exclude the following:</w:t>
      </w:r>
    </w:p>
    <w:p>
      <w:pPr>
        <w:pStyle w:val="TextBody"/>
        <w:bidi w:val="0"/>
        <w:spacing w:lineRule="auto" w:line="288" w:before="0" w:after="60"/>
        <w:ind w:left="0" w:right="0" w:hanging="360"/>
        <w:jc w:val="left"/>
        <w:rPr/>
      </w:pPr>
      <w:r>
        <w:rPr>
          <w:color w:val="000000"/>
        </w:rPr>
        <w:t>•</w:t>
      </w:r>
      <w:r>
        <w:rPr>
          <w:rFonts w:ascii="sans-serif" w:hAnsi="sans-serif"/>
          <w:b w:val="false"/>
          <w:color w:val="000000"/>
          <w:sz w:val="20"/>
        </w:rPr>
        <w:t>Aggregate pre-tax costs of $15 million ($14 million net of tax of $1 million), included in general, administrative and store operating expenses, due to the transition of certain members of the leadership team, primarily related to severance benefits.</w:t>
      </w:r>
    </w:p>
    <w:p>
      <w:pPr>
        <w:pStyle w:val="TextBody"/>
        <w:bidi w:val="0"/>
        <w:spacing w:lineRule="auto" w:line="288" w:before="180" w:after="180"/>
        <w:jc w:val="left"/>
        <w:rPr>
          <w:rFonts w:ascii="sans-serif" w:hAnsi="sans-serif"/>
          <w:b w:val="false"/>
          <w:color w:val="000000"/>
          <w:sz w:val="20"/>
        </w:rPr>
      </w:pPr>
      <w:r>
        <w:rPr>
          <w:rFonts w:ascii="sans-serif" w:hAnsi="sans-serif"/>
          <w:b w:val="false"/>
          <w:color w:val="000000"/>
          <w:sz w:val="20"/>
        </w:rPr>
        <w:t>There were no adjustments to results in the first quarter of 2025.</w:t>
      </w:r>
    </w:p>
    <w:p>
      <w:pPr>
        <w:pStyle w:val="TextBody"/>
        <w:bidi w:val="0"/>
        <w:spacing w:lineRule="auto" w:line="288" w:before="180" w:after="180"/>
        <w:jc w:val="left"/>
        <w:rPr>
          <w:rFonts w:ascii="sans-serif" w:hAnsi="sans-serif"/>
          <w:b w:val="false"/>
          <w:color w:val="000000"/>
          <w:sz w:val="20"/>
          <w:u w:val="single"/>
        </w:rPr>
      </w:pPr>
      <w:r>
        <w:rPr>
          <w:rFonts w:ascii="sans-serif" w:hAnsi="sans-serif"/>
          <w:b w:val="false"/>
          <w:color w:val="000000"/>
          <w:sz w:val="20"/>
          <w:u w:val="single"/>
        </w:rPr>
        <w:t>Forecasted Free Cash Flow</w:t>
      </w:r>
    </w:p>
    <w:p>
      <w:pPr>
        <w:pStyle w:val="TextBody"/>
        <w:bidi w:val="0"/>
        <w:spacing w:lineRule="auto" w:line="288" w:before="180" w:after="180"/>
        <w:jc w:val="left"/>
        <w:rPr>
          <w:rFonts w:ascii="sans-serif" w:hAnsi="sans-serif"/>
          <w:b w:val="false"/>
          <w:color w:val="000000"/>
          <w:sz w:val="20"/>
        </w:rPr>
      </w:pPr>
      <w:r>
        <w:rPr>
          <w:rFonts w:ascii="sans-serif" w:hAnsi="sans-serif"/>
          <w:b w:val="false"/>
          <w:color w:val="000000"/>
          <w:sz w:val="20"/>
        </w:rPr>
        <w:t>Our Forecasted Free Cash Flow is defined as Forecasted Net Cash Provided by Operating Activities less our Forecasted Capital Expenditures. Our Forecasted Free Cash Flow is a non-GAAP financial measure which we believe is useful to analyze our anticipated ability to generate cash. Our Forecasted Free Cash Flow calculation may not be comparable to similarly-titled measures reported by other companies. Our Forecasted Free Cash Flow should be evaluated in addition to, and not considered a substitute for, other GAAP financial measures.</w:t>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13360"/>
                <wp:effectExtent l="0" t="0" r="0" b="0"/>
                <wp:wrapNone/>
                <wp:docPr id="14" name="Frame13"/>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3576</Words>
  <Characters>19507</Characters>
  <CharactersWithSpaces>22929</CharactersWithSpaces>
  <Paragraphs>724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