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4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7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3"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43"/>
          <w:szCs w:val="43"/>
          <w:b w:val="1"/>
          <w:bCs w:val="1"/>
          <w:color w:val="auto"/>
        </w:rPr>
        <w:t>BATH &amp; BODY WORKS, INC.</w:t>
      </w:r>
    </w:p>
    <w:p>
      <w:pPr>
        <w:sectPr>
          <w:pgSz w:w="11900" w:h="16838" w:orient="portrait"/>
          <w:cols w:equalWidth="0" w:num="1">
            <w:col w:w="10380"/>
          </w:cols>
          <w:pgMar w:left="320" w:top="1440"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6" w:lineRule="exact"/>
        <w:rPr>
          <w:sz w:val="24"/>
          <w:szCs w:val="24"/>
          <w:color w:val="auto"/>
        </w:rPr>
      </w:pPr>
    </w:p>
    <w:p>
      <w:pPr>
        <w:jc w:val="both"/>
        <w:ind w:left="980" w:firstLine="31"/>
        <w:spacing w:after="0" w:line="28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7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30" w:lineRule="exact"/>
        <w:rPr>
          <w:sz w:val="24"/>
          <w:szCs w:val="24"/>
          <w:color w:val="auto"/>
        </w:rPr>
      </w:pPr>
    </w:p>
    <w:p>
      <w:pPr>
        <w:ind w:left="1920"/>
        <w:spacing w:after="0"/>
        <w:tabs>
          <w:tab w:leader="none" w:pos="5480" w:val="left"/>
        </w:tabs>
        <w:rPr>
          <w:sz w:val="20"/>
          <w:szCs w:val="20"/>
          <w:color w:val="auto"/>
        </w:rPr>
      </w:pPr>
      <w:r>
        <w:rPr>
          <w:rFonts w:ascii="Times New Roman" w:cs="Times New Roman" w:eastAsia="Times New Roman" w:hAnsi="Times New Roman"/>
          <w:sz w:val="18"/>
          <w:szCs w:val="18"/>
          <w:b w:val="1"/>
          <w:bCs w:val="1"/>
          <w:color w:val="auto"/>
        </w:rPr>
        <w:t>1-8344</w:t>
      </w:r>
      <w:r>
        <w:rPr>
          <w:sz w:val="20"/>
          <w:szCs w:val="20"/>
          <w:color w:val="auto"/>
        </w:rPr>
        <w:tab/>
      </w:r>
      <w:r>
        <w:rPr>
          <w:rFonts w:ascii="Times New Roman" w:cs="Times New Roman" w:eastAsia="Times New Roman" w:hAnsi="Times New Roman"/>
          <w:sz w:val="18"/>
          <w:szCs w:val="18"/>
          <w:b w:val="1"/>
          <w:bCs w:val="1"/>
          <w:color w:val="auto"/>
        </w:rPr>
        <w:t>31-1029810</w:t>
      </w:r>
    </w:p>
    <w:p>
      <w:pPr>
        <w:spacing w:after="0" w:line="225" w:lineRule="exact"/>
        <w:rPr>
          <w:sz w:val="24"/>
          <w:szCs w:val="24"/>
          <w:color w:val="auto"/>
        </w:rPr>
      </w:pPr>
    </w:p>
    <w:p>
      <w:pPr>
        <w:jc w:val="right"/>
        <w:spacing w:after="0"/>
        <w:tabs>
          <w:tab w:leader="none" w:pos="1960" w:val="left"/>
        </w:tabs>
        <w:rPr>
          <w:sz w:val="20"/>
          <w:szCs w:val="20"/>
          <w:color w:val="auto"/>
        </w:rPr>
      </w:pP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09" w:lineRule="exact"/>
        <w:rPr>
          <w:sz w:val="24"/>
          <w:szCs w:val="24"/>
          <w:color w:val="auto"/>
        </w:rPr>
      </w:pPr>
    </w:p>
    <w:p>
      <w:pPr>
        <w:sectPr>
          <w:pgSz w:w="11900" w:h="16838" w:orient="portrait"/>
          <w:cols w:equalWidth="0" w:num="2">
            <w:col w:w="2720" w:space="720"/>
            <w:col w:w="6940"/>
          </w:cols>
          <w:pgMar w:left="320" w:top="1440" w:right="119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8"/>
          <w:szCs w:val="18"/>
          <w:b w:val="1"/>
          <w:bCs w:val="1"/>
          <w:color w:val="auto"/>
        </w:rPr>
        <w:t>Three Limited Parkway</w:t>
      </w:r>
    </w:p>
    <w:p>
      <w:pPr>
        <w:spacing w:after="0" w:line="3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Columbus, Ohio 43230</w:t>
      </w:r>
    </w:p>
    <w:p>
      <w:pPr>
        <w:spacing w:after="0" w:line="2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35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(614) 415-7000</w:t>
      </w:r>
    </w:p>
    <w:p>
      <w:pPr>
        <w:spacing w:after="0" w:line="23"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16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62"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_X__</w:t>
        <w:tab/>
        <w:t>Rule 13p-1 under the Securities Exchange Act (17 CFR 240.13p-1) for the reporting period from January 1 to December 31, 2025.</w:t>
      </w:r>
    </w:p>
    <w:p>
      <w:pPr>
        <w:sectPr>
          <w:pgSz w:w="11900" w:h="16838" w:orient="portrait"/>
          <w:cols w:equalWidth="0" w:num="1">
            <w:col w:w="10380"/>
          </w:cols>
          <w:pgMar w:left="320" w:top="1440" w:right="11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Bath &amp; Body Works, Inc. ("we” or the "Company") is a global leader in personal care and home fragrance, driven by the belief that everybody deserves to feel good.</w:t>
      </w:r>
    </w:p>
    <w:p>
      <w:pPr>
        <w:spacing w:after="0" w:line="5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For over 35 years, the brand’s beloved and iconic scents have been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 more, and home to our famous 3-wick candles. Consumers can shop Bath &amp; Body Works anytime and anywhere they choose, from welcoming, in-store experiences at more than 1,900 company-operated stores in the United States of America (“U.S”) and Canada, 500-plus international locations, online at bathandbodyworks.com and on Amazon.</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“SEC”) adopted Rule 13p-1 under the Securities Exchange Act of 1934, as amended (the “Rule”), to implement reporting and disclosure requirements related to conflict minerals (as defined in the Rule) mandated by Section 1502 of the Dodd-Frank Wall Street Reform and Consumer Protection Act of 2010. After performing the steps required by the Rule, the Company has concluded in good faith that during the year ended December 31, 2025, it contracted to manufacture products which contained conflict minerals that were necessary to the functionality or production of such products.</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Accordingly, the Company has filed this Form SD and the attached Conflict Minerals Report for the calendar year ended December 31, 2025. The Company’s Form SD and Conflict Minerals Report for the calendar year ended December 31, 2025 are available on the Company’s website at www.bbwinc.com. The information contained on the Company’s website is not a part of this Form SD and is not deemed incorporated by reference into this Form SD or any other public filing made with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2025 is filed herewith as Exhibit 1.01.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8"/>
          <w:szCs w:val="18"/>
          <w:u w:val="single" w:color="auto"/>
          <w:color w:val="0000FF"/>
        </w:rPr>
        <w:t>Conflict Minerals Report</w:t>
      </w:r>
    </w:p>
    <w:p>
      <w:pPr>
        <w:sectPr>
          <w:pgSz w:w="11900" w:h="16838" w:orient="portrait"/>
          <w:cols w:equalWidth="0" w:num="1">
            <w:col w:w="11240"/>
          </w:cols>
          <w:pgMar w:left="320" w:top="995"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2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Bath &amp; Body Works, Inc.</w:t>
            </w:r>
          </w:p>
        </w:tc>
      </w:tr>
      <w:tr>
        <w:trPr>
          <w:trHeight w:val="234"/>
        </w:trPr>
        <w:tc>
          <w:tcPr>
            <w:tcW w:w="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5340" w:type="dxa"/>
            <w:vAlign w:val="bottom"/>
          </w:tcPr>
          <w:p>
            <w:pPr>
              <w:spacing w:after="0"/>
              <w:rPr>
                <w:sz w:val="20"/>
                <w:szCs w:val="20"/>
                <w:color w:val="auto"/>
              </w:rPr>
            </w:pPr>
          </w:p>
        </w:tc>
      </w:tr>
      <w:tr>
        <w:trPr>
          <w:trHeight w:val="44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28, 2026</w:t>
            </w:r>
          </w:p>
        </w:tc>
        <w:tc>
          <w:tcPr>
            <w:tcW w:w="76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By: /s/ EVA C. BORATTO</w:t>
            </w:r>
          </w:p>
        </w:tc>
      </w:tr>
      <w:tr>
        <w:trPr>
          <w:trHeight w:val="218"/>
        </w:trPr>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3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Eva C. Boratto</w:t>
            </w:r>
          </w:p>
        </w:tc>
      </w:tr>
      <w:tr>
        <w:trPr>
          <w:trHeight w:val="234"/>
        </w:trPr>
        <w:tc>
          <w:tcPr>
            <w:tcW w:w="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180"/>
          </w:cols>
          <w:pgMar w:left="320" w:top="887"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as amended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 registrant’s supply chain may have originated in the Covered Countries or if the registrant is unable to determine the country of origin of those conflict minerals, then the registrant must exercise due diligence on the conflict minerals’ source and annually submit a Conflict Minerals Report that includes a description of those due diligence measures.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Conflict Minerals Report describes our inquiry and the results of the inquiry, along with our due diligence process on the source of Covered Conflict Minerals for certain of our products, for the calendar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2025 Annual Report on Form 10-K and our subsequent filings. We are not under any obligation and do not intend to make publicly available any update or other revisions to any of the forward-looking statements contained in this Conflict Minerals Report to reflect circumstances existing after the date of this Conflict Minerals Report or to reflect the occurrence of future events even if experience or future events make it clear that any expected results expressed or implied by those forward-looking statements will not be realized.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Bath &amp; Body Works, Inc. ("we" or the "Company"), which was founded in 1963 in Columbus, Ohio, is a global leader in personal care and home fragrance, driven by the belief that everybody deserves to feel good. For over 35 years, the brand’s beloved and iconic scents have been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 more, and home to our famous 3-wick candles.</w:t>
      </w:r>
    </w:p>
    <w:p>
      <w:pPr>
        <w:spacing w:after="0" w:line="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Consumers can shop Bath &amp; Body Works anytime and anywhere they choose, from welcoming, in-store experiences at more than 1,900 company-operated stores in the United States of America (“U.S”) and Canada, 500-plus international locations, online at bathandbodyworks.com and on Amazon.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0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During 2025, we purchased merchandise from approximately 92 suppliers located throughout the world. Our personal care and home fragrance products are manufactured primarily in the U.S.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required by the Rule, we completed a reasonable country of origin inquiry (“RCOI”) with respect to the Covered Conflict Minerals for the calendar year ended December 31, 2025. Our RCOI included the following steps:</w:t>
      </w:r>
    </w:p>
    <w:p>
      <w:pPr>
        <w:spacing w:after="0" w:line="54" w:lineRule="exact"/>
        <w:rPr>
          <w:sz w:val="20"/>
          <w:szCs w:val="20"/>
          <w:color w:val="auto"/>
        </w:rPr>
      </w:pPr>
    </w:p>
    <w:p>
      <w:pPr>
        <w:ind w:left="660" w:right="10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production and sourcing teams who are subject-matter experts (“SMEs”) to review the materials and ingredients utilized in our products and their manufacture. Based on their review, we developed a list of 10 suppliers that manufacture or contract to manufacture product categories that could contain conflict minerals that are necessary for their function or production (“in-scope suppliers”).</w:t>
      </w:r>
    </w:p>
    <w:p>
      <w:pPr>
        <w:sectPr>
          <w:pgSz w:w="11900" w:h="16838" w:orient="portrait"/>
          <w:cols w:equalWidth="0" w:num="1">
            <w:col w:w="11240"/>
          </w:cols>
          <w:pgMar w:left="320" w:top="941" w:right="339" w:bottom="1440" w:gutter="0" w:footer="0" w:header="0"/>
        </w:sectPr>
      </w:pPr>
    </w:p>
    <w:bookmarkStart w:id="4" w:name="page5"/>
    <w:bookmarkEnd w:id="4"/>
    <w:p>
      <w:pPr>
        <w:ind w:left="660" w:right="30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spacing w:after="0" w:line="1"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with our in-scope suppliers’ upstream suppliers, as applicable, to provide training and assistance in identifying conflict minerals in our products and their sources.</w:t>
      </w:r>
    </w:p>
    <w:p>
      <w:pPr>
        <w:spacing w:after="0" w:line="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smelters and refiners (“SORs”) reported by our suppliers to the Responsible Minerals Initiative’s (“RMI”) publicly available list of known SORs. RMI is an industry group that exists to assist member companies to investigate and mitigate risks associated with the use of conflict minerals in their products.</w:t>
      </w:r>
    </w:p>
    <w:p>
      <w:pPr>
        <w:spacing w:after="0" w:line="1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escalate uncooperative in-scope suppliers to the applicable sourcing team and Company leaders, as necessary, for further discussion and possible corrective action.</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RCOI, as described above, was reasonably designed and performed in good faith to determine whether or not Covered Conflict Minerals in our products originated in any Covered Countries.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our RCOI, our in-scope suppliers reported 19 known SORs. Based upon our RCOI results, we then exercised due diligence on the source of Covered Conflict Minerals in certain products in compliance with the Rule. We have reason to believe that two SORs sourced from one or more Covered Countries. The two SORs that sourced from a Covered Country were found to be conformant to RMI’s Responsible Minerals Assurance Process (“RMAP”).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DUE DILIGENCE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developed a due diligence framework that was applied as needed on the source of any Covered Conflict Minerals in certain of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OECD’s five-step guidance, the design of our due diligence included, but was not limited to,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1: Establish Strong Company Management Systems</w:t>
      </w:r>
    </w:p>
    <w:p>
      <w:pPr>
        <w:spacing w:after="0" w:line="117" w:lineRule="exact"/>
        <w:rPr>
          <w:sz w:val="20"/>
          <w:szCs w:val="20"/>
          <w:color w:val="auto"/>
        </w:rPr>
      </w:pPr>
    </w:p>
    <w:p>
      <w:pPr>
        <w:ind w:left="660" w:right="2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Conflict Minerals Policy that prohibits our suppliers from using conflict minerals that may directly or indirectly finance or benefit armed groups in the Covered Countries. Our Conflict Minerals Policy is available on our website at https://www.bbwinc.com/corporate-responsibility/supply-chain/commitment-and-governance.</w:t>
      </w:r>
    </w:p>
    <w:p>
      <w:pPr>
        <w:spacing w:after="0" w:line="1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7"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new vendor is considered for production of goods for us that might be in-scope, our production and sourcing teams are made aware of our Conflict Minerals Policy and requirements, and the information is provided in writing, by telephone, and/or through in-person meetings.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the following multi-level, cross-functional governance structure to monitor developments and provide ongoing management of our conflict minerals program:</w:t>
      </w:r>
    </w:p>
    <w:p>
      <w:pPr>
        <w:spacing w:after="0" w:line="1" w:lineRule="exact"/>
        <w:rPr>
          <w:rFonts w:ascii="Times New Roman" w:cs="Times New Roman" w:eastAsia="Times New Roman" w:hAnsi="Times New Roman"/>
          <w:sz w:val="18"/>
          <w:szCs w:val="18"/>
          <w:color w:val="auto"/>
        </w:rPr>
      </w:pPr>
    </w:p>
    <w:p>
      <w:pPr>
        <w:ind w:left="1300" w:right="260" w:hanging="320"/>
        <w:spacing w:after="0" w:line="261"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and Sourcing Risk Council is composed of senior executives from various Company divisions and functions that meets quarterly to discuss core business, sourcing and purchasing issues, practices and policies. Executives from the following divisions and functions are represented on the Product and Sourcing Risk Council: Communications, Finance, Government Affairs, Global Trade Compliance, Legal, Logistics, Regulatory and Quality Assurance and Sourcing.</w:t>
      </w:r>
    </w:p>
    <w:p>
      <w:pPr>
        <w:spacing w:after="0" w:line="17"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SMEs provide insights from the production and sourcing teams to ensure that in-scope product types and suppliers remain updated, review program status and obtain continuous feedback on the execution of our conflict minerals program.</w:t>
      </w:r>
    </w:p>
    <w:p>
      <w:pPr>
        <w:sectPr>
          <w:pgSz w:w="11900" w:h="16838" w:orient="portrait"/>
          <w:cols w:equalWidth="0" w:num="1">
            <w:col w:w="11220"/>
          </w:cols>
          <w:pgMar w:left="320" w:top="94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Step 2: Identify and Assess Risk in the Supply Chain</w:t>
      </w:r>
    </w:p>
    <w:p>
      <w:pPr>
        <w:spacing w:after="0" w:line="117" w:lineRule="exact"/>
        <w:rPr>
          <w:sz w:val="20"/>
          <w:szCs w:val="20"/>
          <w:color w:val="auto"/>
        </w:rPr>
      </w:pPr>
    </w:p>
    <w:p>
      <w:pPr>
        <w:ind w:left="660" w:right="3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RCOI which included requiring in-scope suppliers to complete the RMI’s Conflict Minerals Reporting Template (“CMRT”) as well as a review of the data collected to determine if the SORs reported to us sourced conflict minerals from a Covered Country.</w:t>
      </w:r>
    </w:p>
    <w:p>
      <w:pPr>
        <w:spacing w:after="0" w:line="1"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3: Design and Implement a Strategy to Respond to Identified Risks</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informed in-scope suppliers of our Conflict Minerals Policy in RCOI communications.</w:t>
      </w:r>
    </w:p>
    <w:p>
      <w:pPr>
        <w:spacing w:after="0" w:line="6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member of RMI. As a member, we have access to additional information about the countries of origin from which SORs source. Using that information, we performed additional procedures to assess the SORs reported to us.</w:t>
      </w:r>
    </w:p>
    <w:p>
      <w:pPr>
        <w:spacing w:after="0" w:line="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develop, and are committed to executing, a risk mitigation plan that includes providing regular updates, and escalating identified risks, to production and sourcing teams and the Product and Sourcing Risk Council to determine appropriate next steps and possible corrective action.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4: Perform Independent Third-party Audit of Supply Chain Due Diligence at Identified Points in the Supply Chain, As Necessary</w:t>
      </w:r>
    </w:p>
    <w:p>
      <w:pPr>
        <w:spacing w:after="0" w:line="117" w:lineRule="exact"/>
        <w:rPr>
          <w:sz w:val="20"/>
          <w:szCs w:val="20"/>
          <w:color w:val="auto"/>
        </w:rPr>
      </w:pPr>
    </w:p>
    <w:p>
      <w:pPr>
        <w:ind w:right="1280" w:firstLine="332"/>
        <w:spacing w:after="0" w:line="375"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members of the RMI, we support audits of conflict minerals SORs conducted by independent third parties through the RMAP. </w:t>
      </w:r>
      <w:r>
        <w:rPr>
          <w:rFonts w:ascii="Times New Roman" w:cs="Times New Roman" w:eastAsia="Times New Roman" w:hAnsi="Times New Roman"/>
          <w:sz w:val="18"/>
          <w:szCs w:val="18"/>
          <w:u w:val="single" w:color="auto"/>
          <w:color w:val="auto"/>
        </w:rPr>
        <w:t>Step 5: Report on Supply Chain Due Diligence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a Form SD and Conflict Minerals Report annually with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Due Diligence Performed</w:t>
      </w:r>
    </w:p>
    <w:p>
      <w:pPr>
        <w:spacing w:after="0" w:line="10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Based on our due diligence process and the subsequent information we gathered, we are unable to confirm the origin of all the Covered Conflict Minerals used in our products and whether armed groups directly or indirectly benefitted. Our suppliers reported 19 SORs that may have provided Covered Conflict Minerals used in our products. The smelters and refiners identified by the in-scope suppliers may not be all the smelters and refiners in the supply chain of our products. Approximately 84% of the reported SORs are conformant to the RMAP or an equivalent audit protocol. If sourcing information was available, we confirmed that three reported SORs sourced from one or more Covered Countries, and each was RMAP conformant. We included Appendix A to this Conflicts Minerals Report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9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210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b w:val="1"/>
                <w:bCs w:val="1"/>
                <w:color w:val="auto"/>
                <w:vertAlign w:val="superscript"/>
              </w:rPr>
              <w:t>1</w:t>
            </w:r>
          </w:p>
        </w:tc>
        <w:tc>
          <w:tcPr>
            <w:tcW w:w="208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 Conformant</w:t>
            </w:r>
            <w:r>
              <w:rPr>
                <w:rFonts w:ascii="Times New Roman" w:cs="Times New Roman" w:eastAsia="Times New Roman" w:hAnsi="Times New Roman"/>
                <w:sz w:val="23"/>
                <w:szCs w:val="23"/>
                <w:b w:val="1"/>
                <w:bCs w:val="1"/>
                <w:color w:val="auto"/>
                <w:vertAlign w:val="superscript"/>
              </w:rPr>
              <w:t>2</w:t>
            </w:r>
          </w:p>
        </w:tc>
        <w:tc>
          <w:tcPr>
            <w:tcW w:w="2100" w:type="dxa"/>
            <w:vAlign w:val="bottom"/>
            <w:tcBorders>
              <w:top w:val="single" w:sz="8" w:color="auto"/>
              <w:right w:val="single" w:sz="8" w:color="auto"/>
            </w:tcBorders>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4"/>
        </w:trPr>
        <w:tc>
          <w:tcPr>
            <w:tcW w:w="49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by Percent</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84%</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8"/>
        </w:trPr>
        <w:tc>
          <w:tcPr>
            <w:tcW w:w="4980" w:type="dxa"/>
            <w:vAlign w:val="bottom"/>
            <w:tcBorders>
              <w:left w:val="single" w:sz="8" w:color="auto"/>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vMerge w:val="continue"/>
          </w:tcPr>
          <w:p>
            <w:pPr>
              <w:spacing w:after="0"/>
              <w:rPr>
                <w:sz w:val="5"/>
                <w:szCs w:val="5"/>
                <w:color w:val="auto"/>
              </w:rPr>
            </w:pPr>
          </w:p>
        </w:tc>
        <w:tc>
          <w:tcPr>
            <w:tcW w:w="2080" w:type="dxa"/>
            <w:vAlign w:val="bottom"/>
            <w:tcBorders>
              <w:bottom w:val="single" w:sz="8" w:color="auto"/>
              <w:right w:val="single" w:sz="8" w:color="auto"/>
            </w:tcBorders>
            <w:vMerge w:val="continue"/>
          </w:tcPr>
          <w:p>
            <w:pPr>
              <w:spacing w:after="0"/>
              <w:rPr>
                <w:sz w:val="5"/>
                <w:szCs w:val="5"/>
                <w:color w:val="auto"/>
              </w:rPr>
            </w:pPr>
          </w:p>
        </w:tc>
        <w:tc>
          <w:tcPr>
            <w:tcW w:w="21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80" w:right="220" w:hanging="324"/>
        <w:spacing w:after="0" w:line="222" w:lineRule="auto"/>
        <w:tabs>
          <w:tab w:leader="none" w:pos="8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SORs listed as “conformant” were audited and found to be conformant to RMAP audit protocols or an equivalent audit program as of January 31, 2026</w:t>
      </w:r>
      <w:r>
        <w:rPr>
          <w:rFonts w:ascii="Times New Roman" w:cs="Times New Roman" w:eastAsia="Times New Roman" w:hAnsi="Times New Roman"/>
          <w:sz w:val="18"/>
          <w:szCs w:val="18"/>
          <w:i w:val="1"/>
          <w:iCs w:val="1"/>
          <w:color w:val="auto"/>
        </w:rPr>
        <w:t>.</w:t>
      </w:r>
    </w:p>
    <w:p>
      <w:pPr>
        <w:spacing w:after="0" w:line="23" w:lineRule="exact"/>
        <w:rPr>
          <w:sz w:val="20"/>
          <w:szCs w:val="20"/>
          <w:color w:val="auto"/>
        </w:rPr>
      </w:pPr>
    </w:p>
    <w:p>
      <w:pPr>
        <w:ind w:left="980" w:right="40" w:hanging="324"/>
        <w:spacing w:after="0" w:line="222" w:lineRule="auto"/>
        <w:tabs>
          <w:tab w:leader="none" w:pos="8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SORs listed as “non conformant” are due to facilities either ceasing operation and/or not responding to the Responsible Minerals Assurance Process, Tin Standard.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Mitigate Risks and Improve Due Diligence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improve our due diligence for future disclosure years, we plan to:</w:t>
      </w:r>
    </w:p>
    <w:p>
      <w:pPr>
        <w:spacing w:after="0" w:line="117" w:lineRule="exact"/>
        <w:rPr>
          <w:sz w:val="20"/>
          <w:szCs w:val="20"/>
          <w:color w:val="auto"/>
        </w:rPr>
      </w:pPr>
    </w:p>
    <w:p>
      <w:pPr>
        <w:ind w:left="660" w:right="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membership and participation in the RMI through monthly membership and semi-monthly workgroup meetings and collaborate with other industry groups and peer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the RMI’s plenary and due diligence practices team calls.</w:t>
      </w:r>
    </w:p>
    <w:p>
      <w:pPr>
        <w:spacing w:after="0" w:line="6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partner closely with, and provide training to, our finished goods suppliers, component and raw material sub-suppliers, sourcing teams and other applicable associates to improve our compliance efforts.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our suppliers to put a conflict minerals policy in place or improve their existing conflict minerals policies.</w:t>
      </w:r>
    </w:p>
    <w:p>
      <w:pPr>
        <w:sectPr>
          <w:pgSz w:w="11900" w:h="16838" w:orient="portrait"/>
          <w:cols w:equalWidth="0" w:num="1">
            <w:col w:w="11260"/>
          </w:cols>
          <w:pgMar w:left="320" w:top="999" w:right="319" w:bottom="1440" w:gutter="0" w:footer="0" w:header="0"/>
        </w:sectPr>
      </w:pPr>
    </w:p>
    <w:bookmarkStart w:id="6" w:name="page7"/>
    <w:bookmarkEnd w:id="6"/>
    <w:p>
      <w:pPr>
        <w:ind w:left="328" w:hanging="328"/>
        <w:spacing w:after="0" w:line="266"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corrective actions for suppliers who are unable to provide complete and accurate information or do not source from smelters or refiners who have been validated through programs such as RMI’s RMAP, London Bullion Market Association’s Responsible Gold Program or Responsible Jewelry Council’s Chain-of-Custody Certification Program.</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require suppliers to only work with SORs that are conformant to the Responsible Minerals Initiative RMAP audit protocols.</w:t>
      </w:r>
    </w:p>
    <w:p>
      <w:pPr>
        <w:sectPr>
          <w:pgSz w:w="11900" w:h="16838" w:orient="portrait"/>
          <w:cols w:equalWidth="0" w:num="1">
            <w:col w:w="10868"/>
          </w:cols>
          <w:pgMar w:left="652" w:top="945" w:right="3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Smelters and Refiners Reported in the Company’s Supply Chain as of December 31, 2025</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108" w:lineRule="exact"/>
        <w:rPr>
          <w:sz w:val="20"/>
          <w:szCs w:val="20"/>
          <w:color w:val="auto"/>
        </w:rPr>
      </w:pPr>
    </w:p>
    <w:tbl>
      <w:tblPr>
        <w:tblLayout w:type="fixed"/>
        <w:tblInd w:w="90" w:type="dxa"/>
        <w:tblCellMar>
          <w:top w:w="0" w:type="dxa"/>
          <w:left w:w="0" w:type="dxa"/>
          <w:bottom w:w="0" w:type="dxa"/>
          <w:right w:w="0" w:type="dxa"/>
        </w:tblCellMar>
      </w:tblPr>
      <w:tr>
        <w:trPr>
          <w:trHeight w:val="243"/>
        </w:trPr>
        <w:tc>
          <w:tcPr>
            <w:tcW w:w="68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040" w:type="dxa"/>
            <w:vAlign w:val="bottom"/>
            <w:tcBorders>
              <w:top w:val="single" w:sz="8" w:color="auto"/>
              <w:bottom w:val="single" w:sz="8" w:color="auto"/>
              <w:right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Smelter Country</w:t>
            </w:r>
          </w:p>
        </w:tc>
        <w:tc>
          <w:tcPr>
            <w:tcW w:w="20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Chengfeng Metals Co Pte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Empress Metalurgica Vinto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Bolivia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Solder Melalurgia e Mineracao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Malaysia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Fabrica Auricchio Ind. Com. De Metals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Poland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Indonesia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 Smelting &amp; Refining 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Stanindo Inti Perkasa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Indonesia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Indonesia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Indonesia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 Vinto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Bolivia (Plurinational State)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table only includes entities that were listed as smelters or refiners by the RMI.</w:t>
      </w:r>
    </w:p>
    <w:p>
      <w:pPr>
        <w:spacing w:after="0" w:line="63" w:lineRule="exact"/>
        <w:rPr>
          <w:sz w:val="20"/>
          <w:szCs w:val="20"/>
          <w:color w:val="auto"/>
        </w:rPr>
      </w:pPr>
    </w:p>
    <w:p>
      <w:pPr>
        <w:ind w:left="660" w:right="80" w:hanging="324"/>
        <w:spacing w:after="0" w:line="281" w:lineRule="auto"/>
        <w:rPr>
          <w:sz w:val="20"/>
          <w:szCs w:val="20"/>
          <w:color w:val="auto"/>
        </w:rPr>
      </w:pPr>
      <w:r>
        <w:rPr>
          <w:rFonts w:ascii="Times New Roman" w:cs="Times New Roman" w:eastAsia="Times New Roman" w:hAnsi="Times New Roman"/>
          <w:sz w:val="18"/>
          <w:szCs w:val="18"/>
          <w:color w:val="auto"/>
        </w:rPr>
        <w:t>– Refiners and smelters listed are as of the date they were assessed by RMI, and based on information made publicly available by the RMI, without independent verification by Bath &amp; Body Works, Inc.</w:t>
      </w:r>
    </w:p>
    <w:p>
      <w:pPr>
        <w:spacing w:after="0" w:line="1" w:lineRule="exact"/>
        <w:rPr>
          <w:sz w:val="20"/>
          <w:szCs w:val="20"/>
          <w:color w:val="auto"/>
        </w:rPr>
      </w:pPr>
    </w:p>
    <w:p>
      <w:pPr>
        <w:ind w:left="660" w:right="620" w:hanging="324"/>
        <w:spacing w:after="0" w:line="282" w:lineRule="auto"/>
        <w:rPr>
          <w:sz w:val="20"/>
          <w:szCs w:val="20"/>
          <w:color w:val="auto"/>
        </w:rPr>
      </w:pPr>
      <w:r>
        <w:rPr>
          <w:rFonts w:ascii="Times New Roman" w:cs="Times New Roman" w:eastAsia="Times New Roman" w:hAnsi="Times New Roman"/>
          <w:sz w:val="18"/>
          <w:szCs w:val="18"/>
          <w:color w:val="auto"/>
        </w:rPr>
        <w:t>– “Smelter Country” is the country in which the smelter or refiner is located. Country location is based solely on information made publicly available by the RMI, without independent verification by Bath &amp; Body Works, Inc.</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2026-05-28T16:58:30Z</dcterms:created>
  <dcterms:modified xsi:type="dcterms:W3CDTF">2026-05-28T16:58:30Z</dcterms:modified>
</cp:coreProperties>
</file>