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00949a80dd2a484ebedc9e0f9998be34_10">
        <w:r>
          <w:rPr>
            <w:rStyle w:val="InternetLink"/>
            <w:rFonts w:ascii="Times New Roman;serif" w:hAnsi="Times New Roman;serif"/>
            <w:b w:val="false"/>
            <w:color w:val="0000FF"/>
            <w:sz w:val="16"/>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_________________________________</w:t>
      </w:r>
    </w:p>
    <w:p>
      <w:pPr>
        <w:pStyle w:val="TextBody"/>
        <w:bidi w:val="0"/>
        <w:spacing w:lineRule="auto" w:line="288" w:before="180" w:after="283"/>
        <w:jc w:val="center"/>
        <w:rPr>
          <w:rFonts w:ascii="Times New Roman;serif" w:hAnsi="Times New Roman;serif"/>
          <w:b/>
          <w:color w:val="000000"/>
          <w:sz w:val="28"/>
        </w:rPr>
      </w:pPr>
      <w:r>
        <w:rPr>
          <w:rFonts w:ascii="Times New Roman;serif" w:hAnsi="Times New Roman;serif"/>
          <w:b/>
          <w:color w:val="000000"/>
          <w:sz w:val="28"/>
        </w:rPr>
        <w:t xml:space="preserve">FORM 10-Q </w:t>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_________________________________</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August 1, 2026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88" w:before="120" w:after="283"/>
        <w:jc w:val="center"/>
        <w:rPr>
          <w:rFonts w:ascii="Times New Roman;serif" w:hAnsi="Times New Roman;serif"/>
          <w:b/>
          <w:color w:val="000000"/>
          <w:sz w:val="19"/>
        </w:rPr>
      </w:pPr>
      <w:r>
        <w:rPr>
          <w:rFonts w:ascii="Times New Roman;serif" w:hAnsi="Times New Roman;serif"/>
          <w:b/>
          <w:color w:val="000000"/>
          <w:sz w:val="19"/>
        </w:rPr>
        <w:t>For the transition period from              to             </w:t>
      </w:r>
    </w:p>
    <w:p>
      <w:pPr>
        <w:pStyle w:val="TextBody"/>
        <w:bidi w:val="0"/>
        <w:spacing w:lineRule="auto" w:line="288" w:before="120" w:after="283"/>
        <w:jc w:val="center"/>
        <w:rPr>
          <w:rFonts w:ascii="Times New Roman;serif" w:hAnsi="Times New Roman;serif"/>
          <w:b/>
          <w:color w:val="000000"/>
          <w:sz w:val="19"/>
        </w:rPr>
      </w:pPr>
      <w:r>
        <w:rPr>
          <w:rFonts w:ascii="Times New Roman;serif" w:hAnsi="Times New Roman;serif"/>
          <w:b/>
          <w:color w:val="000000"/>
          <w:sz w:val="19"/>
        </w:rPr>
        <w:t xml:space="preserve">Commission file number 1-8344 </w:t>
      </w:r>
    </w:p>
    <w:p>
      <w:pPr>
        <w:pStyle w:val="TextBody"/>
        <w:bidi w:val="0"/>
        <w:spacing w:lineRule="auto" w:line="288" w:before="0" w:after="120"/>
        <w:jc w:val="center"/>
        <w:rPr>
          <w:color w:val="000000"/>
        </w:rPr>
      </w:pPr>
      <w:r>
        <w:rPr>
          <w:color w:val="000000"/>
        </w:rPr>
        <w:t> </w:t>
      </w:r>
      <w:r>
        <w:rPr>
          <w:rFonts w:ascii="Times New Roman;serif" w:hAnsi="Times New Roman;serif"/>
          <w:b w:val="false"/>
          <w:color w:val="000000"/>
          <w:sz w:val="16"/>
        </w:rPr>
        <w:t>_________________________________</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BATH &amp; BODY WORKS, INC. </w:t>
      </w:r>
    </w:p>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(Exact name of registrant as specified in its charter)</w:t>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16"/>
        </w:rPr>
        <w:t>_______________________________</w:t>
      </w:r>
    </w:p>
    <w:tbl>
      <w:tblPr>
        <w:tblW w:w="5862" w:type="dxa"/>
        <w:jc w:val="left"/>
        <w:tblInd w:w="0" w:type="dxa"/>
        <w:tblLayout w:type="fixed"/>
        <w:tblCellMar>
          <w:top w:w="28" w:type="dxa"/>
          <w:left w:w="28" w:type="dxa"/>
          <w:bottom w:w="28" w:type="dxa"/>
          <w:right w:w="28" w:type="dxa"/>
        </w:tblCellMar>
      </w:tblPr>
      <w:tblGrid>
        <w:gridCol w:w="887"/>
        <w:gridCol w:w="779"/>
        <w:gridCol w:w="791"/>
        <w:gridCol w:w="191"/>
        <w:gridCol w:w="191"/>
        <w:gridCol w:w="192"/>
        <w:gridCol w:w="827"/>
        <w:gridCol w:w="827"/>
        <w:gridCol w:w="1177"/>
      </w:tblGrid>
      <w:tr>
        <w:trPr/>
        <w:tc>
          <w:tcPr>
            <w:tcW w:w="88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r>
      <w:tr>
        <w:trPr/>
        <w:tc>
          <w:tcPr>
            <w:tcW w:w="24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31-1029810</w:t>
            </w:r>
          </w:p>
        </w:tc>
      </w:tr>
      <w:tr>
        <w:trPr/>
        <w:tc>
          <w:tcPr>
            <w:tcW w:w="24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w:t>
              <w:br/>
              <w:t>incorporation or organization)</w:t>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r>
        <w:trPr/>
        <w:tc>
          <w:tcPr>
            <w:tcW w:w="303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Limited Parkway</w:t>
            </w:r>
          </w:p>
        </w:tc>
        <w:tc>
          <w:tcPr>
            <w:tcW w:w="2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Columbus,</w:t>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Ohio</w:t>
            </w:r>
          </w:p>
        </w:tc>
        <w:tc>
          <w:tcPr>
            <w:tcW w:w="2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43230</w:t>
            </w:r>
          </w:p>
        </w:tc>
      </w:tr>
      <w:tr>
        <w:trPr/>
        <w:tc>
          <w:tcPr>
            <w:tcW w:w="303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2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r>
        <w:trPr/>
        <w:tc>
          <w:tcPr>
            <w:tcW w:w="245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(614)</w:t>
            </w:r>
          </w:p>
        </w:tc>
        <w:tc>
          <w:tcPr>
            <w:tcW w:w="340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415-7000</w:t>
            </w:r>
          </w:p>
        </w:tc>
      </w:tr>
      <w:tr>
        <w:trPr/>
        <w:tc>
          <w:tcPr>
            <w:tcW w:w="58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 including area code)</w:t>
            </w:r>
          </w:p>
        </w:tc>
      </w:tr>
      <w:tr>
        <w:trPr/>
        <w:tc>
          <w:tcPr>
            <w:tcW w:w="58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 Applicable</w:t>
            </w:r>
          </w:p>
        </w:tc>
      </w:tr>
      <w:tr>
        <w:trPr/>
        <w:tc>
          <w:tcPr>
            <w:tcW w:w="58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(Former name, former address and former fiscal year, if changed since last report)</w:t>
            </w:r>
          </w:p>
        </w:tc>
      </w:tr>
      <w:tr>
        <w:trPr/>
        <w:tc>
          <w:tcPr>
            <w:tcW w:w="2457" w:type="dxa"/>
            <w:gridSpan w:val="3"/>
            <w:tcBorders/>
            <w:vAlign w:val="center"/>
          </w:tcPr>
          <w:p>
            <w:pPr>
              <w:pStyle w:val="TableContents"/>
              <w:bidi w:val="0"/>
              <w:spacing w:before="0" w:after="283"/>
              <w:jc w:val="left"/>
              <w:rPr>
                <w:sz w:val="4"/>
                <w:szCs w:val="4"/>
              </w:rPr>
            </w:pPr>
            <w:r>
              <w:rPr>
                <w:sz w:val="4"/>
                <w:szCs w:val="4"/>
              </w:rPr>
            </w:r>
          </w:p>
        </w:tc>
        <w:tc>
          <w:tcPr>
            <w:tcW w:w="3405" w:type="dxa"/>
            <w:gridSpan w:val="6"/>
            <w:tcBorders/>
          </w:tcPr>
          <w:p>
            <w:pPr>
              <w:pStyle w:val="TableContents"/>
              <w:bidi w:val="0"/>
              <w:spacing w:before="0" w:after="283"/>
              <w:jc w:val="left"/>
              <w:rPr>
                <w:sz w:val="4"/>
                <w:szCs w:val="4"/>
              </w:rPr>
            </w:pPr>
            <w:r>
              <w:rPr>
                <w:sz w:val="4"/>
                <w:szCs w:val="4"/>
              </w:rPr>
            </w:r>
          </w:p>
        </w:tc>
      </w:tr>
      <w:tr>
        <w:trPr/>
        <w:tc>
          <w:tcPr>
            <w:tcW w:w="2457" w:type="dxa"/>
            <w:gridSpan w:val="3"/>
            <w:tcBorders/>
            <w:vAlign w:val="center"/>
          </w:tcPr>
          <w:p>
            <w:pPr>
              <w:pStyle w:val="TableContents"/>
              <w:bidi w:val="0"/>
              <w:spacing w:before="0" w:after="283"/>
              <w:jc w:val="left"/>
              <w:rPr>
                <w:sz w:val="4"/>
                <w:szCs w:val="4"/>
              </w:rPr>
            </w:pPr>
            <w:r>
              <w:rPr>
                <w:sz w:val="4"/>
                <w:szCs w:val="4"/>
              </w:rPr>
            </w:r>
          </w:p>
        </w:tc>
        <w:tc>
          <w:tcPr>
            <w:tcW w:w="3405" w:type="dxa"/>
            <w:gridSpan w:val="6"/>
            <w:tcBorders/>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120" w:after="283"/>
        <w:jc w:val="left"/>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10205" w:type="dxa"/>
        <w:jc w:val="left"/>
        <w:tblInd w:w="0" w:type="dxa"/>
        <w:tblLayout w:type="fixed"/>
        <w:tblCellMar>
          <w:top w:w="28" w:type="dxa"/>
          <w:left w:w="28" w:type="dxa"/>
          <w:bottom w:w="28" w:type="dxa"/>
          <w:right w:w="28" w:type="dxa"/>
        </w:tblCellMar>
      </w:tblPr>
      <w:tblGrid>
        <w:gridCol w:w="598"/>
        <w:gridCol w:w="525"/>
        <w:gridCol w:w="527"/>
        <w:gridCol w:w="109"/>
        <w:gridCol w:w="109"/>
        <w:gridCol w:w="109"/>
        <w:gridCol w:w="420"/>
        <w:gridCol w:w="420"/>
        <w:gridCol w:w="421"/>
        <w:gridCol w:w="109"/>
        <w:gridCol w:w="109"/>
        <w:gridCol w:w="109"/>
        <w:gridCol w:w="675"/>
        <w:gridCol w:w="675"/>
        <w:gridCol w:w="676"/>
        <w:gridCol w:w="109"/>
        <w:gridCol w:w="109"/>
        <w:gridCol w:w="109"/>
        <w:gridCol w:w="522"/>
        <w:gridCol w:w="522"/>
        <w:gridCol w:w="524"/>
        <w:gridCol w:w="109"/>
        <w:gridCol w:w="109"/>
        <w:gridCol w:w="109"/>
        <w:gridCol w:w="671"/>
        <w:gridCol w:w="671"/>
        <w:gridCol w:w="674"/>
        <w:gridCol w:w="109"/>
        <w:gridCol w:w="109"/>
        <w:gridCol w:w="158"/>
      </w:tblGrid>
      <w:tr>
        <w:trPr/>
        <w:tc>
          <w:tcPr>
            <w:tcW w:w="598"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5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60" w:after="283"/>
        <w:jc w:val="left"/>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w:t>
      </w:r>
    </w:p>
    <w:p>
      <w:pPr>
        <w:pStyle w:val="TextBody"/>
        <w:bidi w:val="0"/>
        <w:spacing w:lineRule="auto" w:line="288" w:before="120" w:after="283"/>
        <w:jc w:val="left"/>
        <w:rPr/>
      </w:pPr>
      <w:r>
        <w:rPr>
          <w:rFonts w:ascii="Times New Roman;serif" w:hAnsi="Times New Roman;serif"/>
          <w:b w:val="false"/>
          <w:color w:val="000000"/>
          <w:sz w:val="18"/>
        </w:rPr>
        <w:t>Indicate by check mark whether the registrant is a shell company (as defined in Rule 12b-2 of the Exchange Act.):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60" w:after="283"/>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7183" w:type="dxa"/>
        <w:jc w:val="center"/>
        <w:tblInd w:w="0" w:type="dxa"/>
        <w:tblLayout w:type="fixed"/>
        <w:tblCellMar>
          <w:top w:w="28" w:type="dxa"/>
          <w:left w:w="28" w:type="dxa"/>
          <w:bottom w:w="28" w:type="dxa"/>
          <w:right w:w="28" w:type="dxa"/>
        </w:tblCellMar>
      </w:tblPr>
      <w:tblGrid>
        <w:gridCol w:w="873"/>
        <w:gridCol w:w="766"/>
        <w:gridCol w:w="776"/>
        <w:gridCol w:w="484"/>
        <w:gridCol w:w="484"/>
        <w:gridCol w:w="486"/>
        <w:gridCol w:w="970"/>
        <w:gridCol w:w="970"/>
        <w:gridCol w:w="1374"/>
      </w:tblGrid>
      <w:tr>
        <w:trPr/>
        <w:tc>
          <w:tcPr>
            <w:tcW w:w="873"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14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31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241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$0.50 Par Value</w:t>
            </w:r>
          </w:p>
        </w:tc>
        <w:tc>
          <w:tcPr>
            <w:tcW w:w="145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BBWI</w:t>
            </w:r>
          </w:p>
        </w:tc>
        <w:tc>
          <w:tcPr>
            <w:tcW w:w="331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New York Stock Exchange</w:t>
            </w:r>
          </w:p>
        </w:tc>
      </w:tr>
    </w:tbl>
    <w:p>
      <w:pPr>
        <w:pStyle w:val="TextBody"/>
        <w:bidi w:val="0"/>
        <w:spacing w:lineRule="auto" w:line="417" w:before="0" w:after="120"/>
        <w:jc w:val="both"/>
        <w:rPr>
          <w:rFonts w:ascii="Times New Roman;serif" w:hAnsi="Times New Roman;serif"/>
          <w:b w:val="false"/>
          <w:color w:val="000000"/>
          <w:sz w:val="18"/>
        </w:rPr>
      </w:pPr>
      <w:r>
        <w:rPr>
          <w:rFonts w:ascii="Times New Roman;serif" w:hAnsi="Times New Roman;serif"/>
          <w:b w:val="false"/>
          <w:color w:val="000000"/>
          <w:sz w:val="18"/>
        </w:rPr>
        <w:t xml:space="preserve">As of August 21, 2026, the number of outstanding shares of the Registrant’s common stock was 201,645,313 shares.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00949a80dd2a484ebedc9e0f9998be34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BATH &amp; BODY WORKS, INC.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0"/>
        <w:jc w:val="left"/>
        <w:rPr>
          <w:color w:val="000000"/>
        </w:rPr>
      </w:pPr>
      <w:r>
        <w:rPr>
          <w:color w:val="000000"/>
        </w:rPr>
        <w:t> </w:t>
      </w:r>
    </w:p>
    <w:tbl>
      <w:tblPr>
        <w:tblW w:w="10170" w:type="dxa"/>
        <w:jc w:val="left"/>
        <w:tblInd w:w="0" w:type="dxa"/>
        <w:tblLayout w:type="fixed"/>
        <w:tblCellMar>
          <w:top w:w="28" w:type="dxa"/>
          <w:left w:w="28" w:type="dxa"/>
          <w:bottom w:w="28" w:type="dxa"/>
          <w:right w:w="28" w:type="dxa"/>
        </w:tblCellMar>
      </w:tblPr>
      <w:tblGrid>
        <w:gridCol w:w="3385"/>
        <w:gridCol w:w="2980"/>
        <w:gridCol w:w="2994"/>
        <w:gridCol w:w="237"/>
        <w:gridCol w:w="237"/>
        <w:gridCol w:w="337"/>
      </w:tblGrid>
      <w:tr>
        <w:trPr/>
        <w:tc>
          <w:tcPr>
            <w:tcW w:w="3385" w:type="dxa"/>
            <w:tcBorders/>
            <w:vAlign w:val="center"/>
          </w:tcPr>
          <w:p>
            <w:pPr>
              <w:pStyle w:val="TableContents"/>
              <w:bidi w:val="0"/>
              <w:spacing w:before="0" w:after="283"/>
              <w:jc w:val="left"/>
              <w:rPr>
                <w:sz w:val="4"/>
                <w:szCs w:val="4"/>
              </w:rPr>
            </w:pPr>
            <w:r>
              <w:rPr>
                <w:sz w:val="4"/>
                <w:szCs w:val="4"/>
              </w:rPr>
            </w:r>
          </w:p>
        </w:tc>
        <w:tc>
          <w:tcPr>
            <w:tcW w:w="2980" w:type="dxa"/>
            <w:tcBorders/>
            <w:vAlign w:val="center"/>
          </w:tcPr>
          <w:p>
            <w:pPr>
              <w:pStyle w:val="TableContents"/>
              <w:bidi w:val="0"/>
              <w:spacing w:before="0" w:after="283"/>
              <w:jc w:val="left"/>
              <w:rPr>
                <w:sz w:val="4"/>
                <w:szCs w:val="4"/>
              </w:rPr>
            </w:pPr>
            <w:r>
              <w:rPr>
                <w:sz w:val="4"/>
                <w:szCs w:val="4"/>
              </w:rPr>
            </w:r>
          </w:p>
        </w:tc>
        <w:tc>
          <w:tcPr>
            <w:tcW w:w="299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9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 No.</w:t>
            </w:r>
          </w:p>
        </w:tc>
      </w:tr>
      <w:tr>
        <w:trPr/>
        <w:tc>
          <w:tcPr>
            <w:tcW w:w="93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0949a80dd2a484ebedc9e0f9998be34_13">
              <w:r>
                <w:rPr>
                  <w:rStyle w:val="InternetLink"/>
                  <w:rFonts w:ascii="Times New Roman;serif" w:hAnsi="Times New Roman;serif"/>
                  <w:b w:val="false"/>
                  <w:color w:val="0000FF"/>
                  <w:sz w:val="20"/>
                  <w:u w:val="single"/>
                </w:rPr>
                <w:t>Part I. Financial Information</w:t>
              </w:r>
            </w:hyperlink>
          </w:p>
        </w:tc>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59" w:type="dxa"/>
            <w:gridSpan w:val="3"/>
            <w:tcBorders/>
            <w:tcMar>
              <w:top w:w="0" w:type="dxa"/>
              <w:left w:w="0" w:type="dxa"/>
              <w:bottom w:w="0" w:type="dxa"/>
              <w:right w:w="0" w:type="dxa"/>
            </w:tcMar>
            <w:vAlign w:val="center"/>
          </w:tcPr>
          <w:p>
            <w:pPr>
              <w:pStyle w:val="TableContents"/>
              <w:bidi w:val="0"/>
              <w:spacing w:lineRule="auto" w:line="240" w:before="160" w:after="160"/>
              <w:ind w:left="0" w:right="0" w:firstLine="180"/>
              <w:jc w:val="left"/>
              <w:rPr/>
            </w:pPr>
            <w:r>
              <w:rPr>
                <w:rFonts w:ascii="Times New Roman;serif" w:hAnsi="Times New Roman;serif"/>
                <w:b w:val="false"/>
                <w:color w:val="000000"/>
                <w:sz w:val="20"/>
              </w:rPr>
              <w:t xml:space="preserve">Item 1. </w:t>
            </w:r>
            <w:hyperlink w:anchor="i00949a80dd2a484ebedc9e0f9998be34_16">
              <w:r>
                <w:rPr>
                  <w:rStyle w:val="InternetLink"/>
                  <w:rFonts w:ascii="Times New Roman;serif" w:hAnsi="Times New Roman;serif"/>
                  <w:b w:val="false"/>
                  <w:color w:val="0000FF"/>
                  <w:sz w:val="20"/>
                  <w:u w:val="single"/>
                </w:rPr>
                <w:t>Financial Statements *</w:t>
              </w:r>
            </w:hyperlink>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0949a80dd2a484ebedc9e0f9998be34_19">
              <w:r>
                <w:rPr>
                  <w:rStyle w:val="InternetLink"/>
                  <w:rFonts w:ascii="Times New Roman;serif" w:hAnsi="Times New Roman;serif"/>
                  <w:b w:val="false"/>
                  <w:color w:val="0000FF"/>
                  <w:sz w:val="20"/>
                  <w:u w:val="single"/>
                </w:rPr>
                <w:t>Consolidated Statements of Income (Unaudited)</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0949a80dd2a484ebedc9e0f9998be34_19">
              <w:r>
                <w:rPr>
                  <w:rStyle w:val="InternetLink"/>
                  <w:rFonts w:ascii="Times New Roman;serif" w:hAnsi="Times New Roman;serif"/>
                  <w:b w:val="false"/>
                  <w:color w:val="0000FF"/>
                  <w:sz w:val="20"/>
                  <w:u w:val="single"/>
                </w:rPr>
                <w:t>3</w:t>
              </w:r>
            </w:hyperlink>
          </w:p>
        </w:tc>
      </w:tr>
      <w:tr>
        <w:trPr/>
        <w:tc>
          <w:tcPr>
            <w:tcW w:w="9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0949a80dd2a484ebedc9e0f9998be34_19">
              <w:r>
                <w:rPr>
                  <w:rStyle w:val="InternetLink"/>
                  <w:rFonts w:ascii="Times New Roman;serif" w:hAnsi="Times New Roman;serif"/>
                  <w:b w:val="false"/>
                  <w:color w:val="0000FF"/>
                  <w:sz w:val="20"/>
                  <w:u w:val="single"/>
                </w:rPr>
                <w:t>Consolidated Statements of Comprehensive Income (Unaudited)</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0949a80dd2a484ebedc9e0f9998be34_19">
              <w:r>
                <w:rPr>
                  <w:rStyle w:val="InternetLink"/>
                  <w:rFonts w:ascii="Times New Roman;serif" w:hAnsi="Times New Roman;serif"/>
                  <w:b w:val="false"/>
                  <w:color w:val="0000FF"/>
                  <w:sz w:val="20"/>
                  <w:u w:val="single"/>
                </w:rPr>
                <w:t>3</w:t>
              </w:r>
            </w:hyperlink>
          </w:p>
        </w:tc>
      </w:tr>
      <w:tr>
        <w:trPr/>
        <w:tc>
          <w:tcPr>
            <w:tcW w:w="9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0949a80dd2a484ebedc9e0f9998be34_22">
              <w:r>
                <w:rPr>
                  <w:rStyle w:val="InternetLink"/>
                  <w:rFonts w:ascii="Times New Roman;serif" w:hAnsi="Times New Roman;serif"/>
                  <w:b w:val="false"/>
                  <w:color w:val="000080"/>
                  <w:sz w:val="20"/>
                  <w:u w:val="single"/>
                </w:rPr>
                <w:t>Consolidated Balance Sheets as of</w:t>
              </w:r>
            </w:hyperlink>
            <w:hyperlink w:anchor="i00949a80dd2a484ebedc9e0f9998be34_22">
              <w:r>
                <w:rPr>
                  <w:rStyle w:val="InternetLink"/>
                  <w:rFonts w:ascii="Times New Roman;serif" w:hAnsi="Times New Roman;serif"/>
                  <w:b w:val="false"/>
                  <w:color w:val="000080"/>
                  <w:sz w:val="20"/>
                  <w:u w:val="single"/>
                </w:rPr>
                <w:t xml:space="preserve"> </w:t>
              </w:r>
            </w:hyperlink>
            <w:hyperlink w:anchor="i00949a80dd2a484ebedc9e0f9998be34_22">
              <w:r>
                <w:rPr>
                  <w:rStyle w:val="InternetLink"/>
                  <w:rFonts w:ascii="Times New Roman;serif" w:hAnsi="Times New Roman;serif"/>
                  <w:b w:val="false"/>
                  <w:color w:val="000080"/>
                  <w:sz w:val="20"/>
                  <w:u w:val="single"/>
                </w:rPr>
                <w:t>August 1, 2026</w:t>
              </w:r>
            </w:hyperlink>
            <w:hyperlink w:anchor="i00949a80dd2a484ebedc9e0f9998be34_22">
              <w:r>
                <w:rPr>
                  <w:rStyle w:val="InternetLink"/>
                  <w:rFonts w:ascii="Times New Roman;serif" w:hAnsi="Times New Roman;serif"/>
                  <w:b w:val="false"/>
                  <w:color w:val="000080"/>
                  <w:sz w:val="20"/>
                  <w:u w:val="single"/>
                </w:rPr>
                <w:t xml:space="preserve"> (Unaudited), January 31, 2026 and </w:t>
              </w:r>
            </w:hyperlink>
            <w:hyperlink w:anchor="i00949a80dd2a484ebedc9e0f9998be34_22">
              <w:r>
                <w:rPr>
                  <w:rStyle w:val="InternetLink"/>
                  <w:rFonts w:ascii="Times New Roman;serif" w:hAnsi="Times New Roman;serif"/>
                  <w:b w:val="false"/>
                  <w:color w:val="000080"/>
                  <w:sz w:val="20"/>
                  <w:u w:val="single"/>
                </w:rPr>
                <w:t>August</w:t>
              </w:r>
            </w:hyperlink>
            <w:hyperlink w:anchor="i00949a80dd2a484ebedc9e0f9998be34_22">
              <w:r>
                <w:rPr>
                  <w:rStyle w:val="InternetLink"/>
                  <w:rFonts w:ascii="Times New Roman;serif" w:hAnsi="Times New Roman;serif"/>
                  <w:b w:val="false"/>
                  <w:color w:val="000080"/>
                  <w:sz w:val="20"/>
                  <w:u w:val="single"/>
                </w:rPr>
                <w:t xml:space="preserve"> </w:t>
              </w:r>
            </w:hyperlink>
            <w:hyperlink w:anchor="i00949a80dd2a484ebedc9e0f9998be34_22">
              <w:r>
                <w:rPr>
                  <w:rStyle w:val="InternetLink"/>
                  <w:rFonts w:ascii="Times New Roman;serif" w:hAnsi="Times New Roman;serif"/>
                  <w:b w:val="false"/>
                  <w:color w:val="000080"/>
                  <w:sz w:val="20"/>
                  <w:u w:val="single"/>
                </w:rPr>
                <w:t>2</w:t>
              </w:r>
            </w:hyperlink>
            <w:hyperlink w:anchor="i00949a80dd2a484ebedc9e0f9998be34_22">
              <w:r>
                <w:rPr>
                  <w:rStyle w:val="InternetLink"/>
                  <w:rFonts w:ascii="Times New Roman;serif" w:hAnsi="Times New Roman;serif"/>
                  <w:b w:val="false"/>
                  <w:color w:val="000080"/>
                  <w:sz w:val="20"/>
                  <w:u w:val="single"/>
                </w:rPr>
                <w:t>, 2025 (Unaudited)</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0949a80dd2a484ebedc9e0f9998be34_22">
              <w:r>
                <w:rPr>
                  <w:rStyle w:val="InternetLink"/>
                  <w:rFonts w:ascii="Times New Roman;serif" w:hAnsi="Times New Roman;serif"/>
                  <w:b w:val="false"/>
                  <w:color w:val="0000FF"/>
                  <w:sz w:val="20"/>
                  <w:u w:val="single"/>
                </w:rPr>
                <w:t>4</w:t>
              </w:r>
            </w:hyperlink>
          </w:p>
        </w:tc>
      </w:tr>
      <w:tr>
        <w:trPr/>
        <w:tc>
          <w:tcPr>
            <w:tcW w:w="9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0949a80dd2a484ebedc9e0f9998be34_25">
              <w:r>
                <w:rPr>
                  <w:rStyle w:val="InternetLink"/>
                  <w:rFonts w:ascii="Times New Roman;serif" w:hAnsi="Times New Roman;serif"/>
                  <w:b w:val="false"/>
                  <w:color w:val="0000FF"/>
                  <w:sz w:val="20"/>
                  <w:u w:val="single"/>
                </w:rPr>
                <w:t>Consolidated Statements of Total Equity (Deficit) (Unaudited)</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0949a80dd2a484ebedc9e0f9998be34_25">
              <w:r>
                <w:rPr>
                  <w:rStyle w:val="InternetLink"/>
                  <w:rFonts w:ascii="Times New Roman;serif" w:hAnsi="Times New Roman;serif"/>
                  <w:b w:val="false"/>
                  <w:color w:val="0000FF"/>
                  <w:sz w:val="20"/>
                  <w:u w:val="single"/>
                </w:rPr>
                <w:t>5</w:t>
              </w:r>
            </w:hyperlink>
          </w:p>
        </w:tc>
      </w:tr>
      <w:tr>
        <w:trPr/>
        <w:tc>
          <w:tcPr>
            <w:tcW w:w="9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59"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00949a80dd2a484ebedc9e0f9998be34_31">
              <w:r>
                <w:rPr>
                  <w:rStyle w:val="InternetLink"/>
                  <w:rFonts w:ascii="Times New Roman;serif" w:hAnsi="Times New Roman;serif"/>
                  <w:b w:val="false"/>
                  <w:color w:val="0000FF"/>
                  <w:sz w:val="20"/>
                  <w:u w:val="single"/>
                </w:rPr>
                <w:t>Consolidated Statements of Cash Flows (Unaudited)</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0949a80dd2a484ebedc9e0f9998be34_31">
              <w:r>
                <w:rPr>
                  <w:rStyle w:val="InternetLink"/>
                  <w:rFonts w:ascii="Times New Roman;serif" w:hAnsi="Times New Roman;serif"/>
                  <w:b w:val="false"/>
                  <w:color w:val="0000FF"/>
                  <w:sz w:val="20"/>
                  <w:u w:val="single"/>
                </w:rPr>
                <w:t>7</w:t>
              </w:r>
            </w:hyperlink>
          </w:p>
        </w:tc>
      </w:tr>
      <w:tr>
        <w:trPr/>
        <w:tc>
          <w:tcPr>
            <w:tcW w:w="9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0949a80dd2a484ebedc9e0f9998be34_34">
              <w:r>
                <w:rPr>
                  <w:rStyle w:val="InternetLink"/>
                  <w:rFonts w:ascii="Times New Roman;serif" w:hAnsi="Times New Roman;serif"/>
                  <w:b w:val="false"/>
                  <w:color w:val="0000FF"/>
                  <w:sz w:val="20"/>
                  <w:u w:val="single"/>
                </w:rPr>
                <w:t>Notes to Consolidated Financial Statements (Unaudited)</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0949a80dd2a484ebedc9e0f9998be34_34">
              <w:r>
                <w:rPr>
                  <w:rStyle w:val="InternetLink"/>
                  <w:rFonts w:ascii="Times New Roman;serif" w:hAnsi="Times New Roman;serif"/>
                  <w:b w:val="false"/>
                  <w:color w:val="0000FF"/>
                  <w:sz w:val="20"/>
                  <w:u w:val="single"/>
                </w:rPr>
                <w:t>8</w:t>
              </w:r>
            </w:hyperlink>
          </w:p>
        </w:tc>
      </w:tr>
      <w:tr>
        <w:trPr/>
        <w:tc>
          <w:tcPr>
            <w:tcW w:w="9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0949a80dd2a484ebedc9e0f9998be34_76">
              <w:r>
                <w:rPr>
                  <w:rStyle w:val="InternetLink"/>
                  <w:rFonts w:ascii="Times New Roman;serif" w:hAnsi="Times New Roman;serif"/>
                  <w:b w:val="false"/>
                  <w:color w:val="0000FF"/>
                  <w:sz w:val="20"/>
                  <w:u w:val="single"/>
                </w:rPr>
                <w:t>Safe Harbor Statement Under the Private Securities Litigation Reform Act of 1995</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0949a80dd2a484ebedc9e0f9998be34_76">
              <w:r>
                <w:rPr>
                  <w:rStyle w:val="InternetLink"/>
                  <w:rFonts w:ascii="Times New Roman;serif" w:hAnsi="Times New Roman;serif"/>
                  <w:b w:val="false"/>
                  <w:color w:val="0000FF"/>
                  <w:sz w:val="20"/>
                  <w:u w:val="single"/>
                </w:rPr>
                <w:t>15</w:t>
              </w:r>
            </w:hyperlink>
          </w:p>
        </w:tc>
      </w:tr>
      <w:tr>
        <w:trPr/>
        <w:tc>
          <w:tcPr>
            <w:tcW w:w="9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59" w:type="dxa"/>
            <w:gridSpan w:val="3"/>
            <w:tcBorders/>
            <w:tcMar>
              <w:top w:w="0" w:type="dxa"/>
              <w:left w:w="0" w:type="dxa"/>
              <w:bottom w:w="0" w:type="dxa"/>
              <w:right w:w="0" w:type="dxa"/>
            </w:tcMar>
            <w:vAlign w:val="center"/>
          </w:tcPr>
          <w:p>
            <w:pPr>
              <w:pStyle w:val="TableContents"/>
              <w:bidi w:val="0"/>
              <w:spacing w:lineRule="auto" w:line="240" w:before="160" w:after="160"/>
              <w:ind w:left="0" w:right="0" w:firstLine="180"/>
              <w:jc w:val="left"/>
              <w:rPr/>
            </w:pPr>
            <w:r>
              <w:rPr>
                <w:rFonts w:ascii="Times New Roman;serif" w:hAnsi="Times New Roman;serif"/>
                <w:b w:val="false"/>
                <w:color w:val="000000"/>
                <w:sz w:val="20"/>
              </w:rPr>
              <w:t xml:space="preserve">Item 2. </w:t>
            </w:r>
            <w:hyperlink w:anchor="i00949a80dd2a484ebedc9e0f9998be34_79">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0949a80dd2a484ebedc9e0f9998be34_79">
              <w:r>
                <w:rPr>
                  <w:rStyle w:val="InternetLink"/>
                  <w:rFonts w:ascii="Times New Roman;serif" w:hAnsi="Times New Roman;serif"/>
                  <w:b w:val="false"/>
                  <w:color w:val="0000FF"/>
                  <w:sz w:val="20"/>
                  <w:u w:val="single"/>
                </w:rPr>
                <w:t>15</w:t>
              </w:r>
            </w:hyperlink>
          </w:p>
        </w:tc>
      </w:tr>
      <w:tr>
        <w:trPr/>
        <w:tc>
          <w:tcPr>
            <w:tcW w:w="9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59" w:type="dxa"/>
            <w:gridSpan w:val="3"/>
            <w:tcBorders/>
            <w:tcMar>
              <w:top w:w="0" w:type="dxa"/>
              <w:left w:w="0" w:type="dxa"/>
              <w:bottom w:w="0" w:type="dxa"/>
              <w:right w:w="0" w:type="dxa"/>
            </w:tcMar>
            <w:vAlign w:val="center"/>
          </w:tcPr>
          <w:p>
            <w:pPr>
              <w:pStyle w:val="TableContents"/>
              <w:bidi w:val="0"/>
              <w:spacing w:lineRule="auto" w:line="240" w:before="160" w:after="160"/>
              <w:ind w:left="0" w:right="0" w:firstLine="180"/>
              <w:jc w:val="left"/>
              <w:rPr/>
            </w:pPr>
            <w:r>
              <w:rPr>
                <w:rFonts w:ascii="Times New Roman;serif" w:hAnsi="Times New Roman;serif"/>
                <w:b w:val="false"/>
                <w:color w:val="000000"/>
                <w:sz w:val="20"/>
              </w:rPr>
              <w:t xml:space="preserve">Item 3. </w:t>
            </w:r>
            <w:hyperlink w:anchor="i00949a80dd2a484ebedc9e0f9998be34_103">
              <w:r>
                <w:rPr>
                  <w:rStyle w:val="InternetLink"/>
                  <w:rFonts w:ascii="Times New Roman;serif" w:hAnsi="Times New Roman;serif"/>
                  <w:b w:val="false"/>
                  <w:color w:val="0000FF"/>
                  <w:sz w:val="20"/>
                  <w:u w:val="single"/>
                </w:rPr>
                <w:t>Quantitative and Qualitative Disclosures About Market Risk</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0949a80dd2a484ebedc9e0f9998be34_103">
              <w:r>
                <w:rPr>
                  <w:rStyle w:val="InternetLink"/>
                  <w:rFonts w:ascii="Times New Roman;serif" w:hAnsi="Times New Roman;serif"/>
                  <w:b w:val="false"/>
                  <w:color w:val="0000FF"/>
                  <w:sz w:val="20"/>
                  <w:u w:val="single"/>
                </w:rPr>
                <w:t>25</w:t>
              </w:r>
            </w:hyperlink>
          </w:p>
        </w:tc>
      </w:tr>
      <w:tr>
        <w:trPr/>
        <w:tc>
          <w:tcPr>
            <w:tcW w:w="9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59" w:type="dxa"/>
            <w:gridSpan w:val="3"/>
            <w:tcBorders/>
            <w:tcMar>
              <w:top w:w="0" w:type="dxa"/>
              <w:left w:w="0" w:type="dxa"/>
              <w:bottom w:w="0" w:type="dxa"/>
              <w:right w:w="0" w:type="dxa"/>
            </w:tcMar>
            <w:vAlign w:val="center"/>
          </w:tcPr>
          <w:p>
            <w:pPr>
              <w:pStyle w:val="TableContents"/>
              <w:bidi w:val="0"/>
              <w:spacing w:lineRule="auto" w:line="240" w:before="160" w:after="160"/>
              <w:ind w:left="0" w:right="0" w:firstLine="180"/>
              <w:jc w:val="left"/>
              <w:rPr/>
            </w:pPr>
            <w:r>
              <w:rPr>
                <w:rFonts w:ascii="Times New Roman;serif" w:hAnsi="Times New Roman;serif"/>
                <w:b w:val="false"/>
                <w:color w:val="000000"/>
                <w:sz w:val="20"/>
              </w:rPr>
              <w:t xml:space="preserve">Item 4. </w:t>
            </w:r>
            <w:hyperlink w:anchor="i00949a80dd2a484ebedc9e0f9998be34_106">
              <w:r>
                <w:rPr>
                  <w:rStyle w:val="InternetLink"/>
                  <w:rFonts w:ascii="Times New Roman;serif" w:hAnsi="Times New Roman;serif"/>
                  <w:b w:val="false"/>
                  <w:color w:val="0000FF"/>
                  <w:sz w:val="20"/>
                  <w:u w:val="single"/>
                </w:rPr>
                <w:t>Controls and Procedures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0949a80dd2a484ebedc9e0f9998be34_106">
              <w:r>
                <w:rPr>
                  <w:rStyle w:val="InternetLink"/>
                  <w:rFonts w:ascii="Times New Roman;serif" w:hAnsi="Times New Roman;serif"/>
                  <w:b w:val="false"/>
                  <w:color w:val="0000FF"/>
                  <w:sz w:val="20"/>
                  <w:u w:val="single"/>
                </w:rPr>
                <w:t>26</w:t>
              </w:r>
            </w:hyperlink>
          </w:p>
        </w:tc>
      </w:tr>
      <w:tr>
        <w:trPr/>
        <w:tc>
          <w:tcPr>
            <w:tcW w:w="9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0949a80dd2a484ebedc9e0f9998be34_109">
              <w:r>
                <w:rPr>
                  <w:rStyle w:val="InternetLink"/>
                  <w:rFonts w:ascii="Times New Roman;serif" w:hAnsi="Times New Roman;serif"/>
                  <w:b w:val="false"/>
                  <w:color w:val="0000FF"/>
                  <w:sz w:val="20"/>
                  <w:u w:val="single"/>
                </w:rPr>
                <w:t>Part II. Other Information</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0949a80dd2a484ebedc9e0f9998be34_109">
              <w:r>
                <w:rPr>
                  <w:rStyle w:val="InternetLink"/>
                  <w:rFonts w:ascii="Times New Roman;serif" w:hAnsi="Times New Roman;serif"/>
                  <w:b w:val="false"/>
                  <w:color w:val="0000FF"/>
                  <w:sz w:val="20"/>
                  <w:u w:val="single"/>
                </w:rPr>
                <w:t>28</w:t>
              </w:r>
            </w:hyperlink>
          </w:p>
        </w:tc>
      </w:tr>
      <w:tr>
        <w:trPr/>
        <w:tc>
          <w:tcPr>
            <w:tcW w:w="9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59" w:type="dxa"/>
            <w:gridSpan w:val="3"/>
            <w:tcBorders/>
            <w:tcMar>
              <w:top w:w="0" w:type="dxa"/>
              <w:left w:w="0" w:type="dxa"/>
              <w:bottom w:w="0" w:type="dxa"/>
              <w:right w:w="0" w:type="dxa"/>
            </w:tcMar>
            <w:vAlign w:val="center"/>
          </w:tcPr>
          <w:p>
            <w:pPr>
              <w:pStyle w:val="TableContents"/>
              <w:bidi w:val="0"/>
              <w:spacing w:lineRule="auto" w:line="240" w:before="160" w:after="160"/>
              <w:ind w:left="0" w:right="0" w:firstLine="180"/>
              <w:jc w:val="left"/>
              <w:rPr/>
            </w:pPr>
            <w:r>
              <w:rPr>
                <w:rFonts w:ascii="Times New Roman;serif" w:hAnsi="Times New Roman;serif"/>
                <w:b w:val="false"/>
                <w:color w:val="000000"/>
                <w:sz w:val="20"/>
              </w:rPr>
              <w:t xml:space="preserve">Item 1. </w:t>
            </w:r>
            <w:hyperlink w:anchor="i00949a80dd2a484ebedc9e0f9998be34_112">
              <w:r>
                <w:rPr>
                  <w:rStyle w:val="InternetLink"/>
                  <w:rFonts w:ascii="Times New Roman;serif" w:hAnsi="Times New Roman;serif"/>
                  <w:b w:val="false"/>
                  <w:color w:val="0000FF"/>
                  <w:sz w:val="20"/>
                  <w:u w:val="single"/>
                </w:rPr>
                <w:t>Legal Proceedings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0949a80dd2a484ebedc9e0f9998be34_112">
              <w:r>
                <w:rPr>
                  <w:rStyle w:val="InternetLink"/>
                  <w:rFonts w:ascii="Times New Roman;serif" w:hAnsi="Times New Roman;serif"/>
                  <w:b w:val="false"/>
                  <w:color w:val="0000FF"/>
                  <w:sz w:val="20"/>
                  <w:u w:val="single"/>
                </w:rPr>
                <w:t>28</w:t>
              </w:r>
            </w:hyperlink>
          </w:p>
        </w:tc>
      </w:tr>
      <w:tr>
        <w:trPr/>
        <w:tc>
          <w:tcPr>
            <w:tcW w:w="9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59" w:type="dxa"/>
            <w:gridSpan w:val="3"/>
            <w:tcBorders/>
            <w:tcMar>
              <w:top w:w="0" w:type="dxa"/>
              <w:left w:w="0" w:type="dxa"/>
              <w:bottom w:w="0" w:type="dxa"/>
              <w:right w:w="0" w:type="dxa"/>
            </w:tcMar>
            <w:vAlign w:val="center"/>
          </w:tcPr>
          <w:p>
            <w:pPr>
              <w:pStyle w:val="TableContents"/>
              <w:bidi w:val="0"/>
              <w:spacing w:lineRule="auto" w:line="240" w:before="160" w:after="160"/>
              <w:ind w:left="0" w:right="0" w:firstLine="180"/>
              <w:jc w:val="left"/>
              <w:rPr/>
            </w:pPr>
            <w:r>
              <w:rPr>
                <w:rFonts w:ascii="Times New Roman;serif" w:hAnsi="Times New Roman;serif"/>
                <w:b w:val="false"/>
                <w:color w:val="000000"/>
                <w:sz w:val="20"/>
              </w:rPr>
              <w:t xml:space="preserve">Item 1A. </w:t>
            </w:r>
            <w:hyperlink w:anchor="i00949a80dd2a484ebedc9e0f9998be34_115">
              <w:r>
                <w:rPr>
                  <w:rStyle w:val="InternetLink"/>
                  <w:rFonts w:ascii="Times New Roman;serif" w:hAnsi="Times New Roman;serif"/>
                  <w:b w:val="false"/>
                  <w:color w:val="0000FF"/>
                  <w:sz w:val="20"/>
                  <w:u w:val="single"/>
                </w:rPr>
                <w:t>Risk Factors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0949a80dd2a484ebedc9e0f9998be34_115">
              <w:r>
                <w:rPr>
                  <w:rStyle w:val="InternetLink"/>
                  <w:rFonts w:ascii="Times New Roman;serif" w:hAnsi="Times New Roman;serif"/>
                  <w:b w:val="false"/>
                  <w:color w:val="0000FF"/>
                  <w:sz w:val="20"/>
                  <w:u w:val="single"/>
                </w:rPr>
                <w:t>28</w:t>
              </w:r>
            </w:hyperlink>
          </w:p>
        </w:tc>
      </w:tr>
      <w:tr>
        <w:trPr/>
        <w:tc>
          <w:tcPr>
            <w:tcW w:w="9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59" w:type="dxa"/>
            <w:gridSpan w:val="3"/>
            <w:tcBorders/>
            <w:tcMar>
              <w:top w:w="0" w:type="dxa"/>
              <w:left w:w="0" w:type="dxa"/>
              <w:bottom w:w="0" w:type="dxa"/>
              <w:right w:w="0" w:type="dxa"/>
            </w:tcMar>
            <w:vAlign w:val="center"/>
          </w:tcPr>
          <w:p>
            <w:pPr>
              <w:pStyle w:val="TableContents"/>
              <w:bidi w:val="0"/>
              <w:spacing w:lineRule="auto" w:line="240" w:before="160" w:after="160"/>
              <w:ind w:left="0" w:right="0" w:firstLine="180"/>
              <w:jc w:val="left"/>
              <w:rPr/>
            </w:pPr>
            <w:r>
              <w:rPr>
                <w:rFonts w:ascii="Times New Roman;serif" w:hAnsi="Times New Roman;serif"/>
                <w:b w:val="false"/>
                <w:color w:val="000000"/>
                <w:sz w:val="20"/>
              </w:rPr>
              <w:t xml:space="preserve">Item 2. </w:t>
            </w:r>
            <w:hyperlink w:anchor="i00949a80dd2a484ebedc9e0f9998be34_118">
              <w:r>
                <w:rPr>
                  <w:rStyle w:val="InternetLink"/>
                  <w:rFonts w:ascii="Times New Roman;serif" w:hAnsi="Times New Roman;serif"/>
                  <w:b w:val="false"/>
                  <w:color w:val="0000FF"/>
                  <w:sz w:val="20"/>
                  <w:u w:val="single"/>
                </w:rPr>
                <w:t>Unregistered Sales of Equity Securities and Use of Proceeds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0949a80dd2a484ebedc9e0f9998be34_118">
              <w:r>
                <w:rPr>
                  <w:rStyle w:val="InternetLink"/>
                  <w:rFonts w:ascii="Times New Roman;serif" w:hAnsi="Times New Roman;serif"/>
                  <w:b w:val="false"/>
                  <w:color w:val="0000FF"/>
                  <w:sz w:val="20"/>
                  <w:u w:val="single"/>
                </w:rPr>
                <w:t>28</w:t>
              </w:r>
            </w:hyperlink>
          </w:p>
        </w:tc>
      </w:tr>
      <w:tr>
        <w:trPr/>
        <w:tc>
          <w:tcPr>
            <w:tcW w:w="9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59" w:type="dxa"/>
            <w:gridSpan w:val="3"/>
            <w:tcBorders/>
            <w:tcMar>
              <w:top w:w="0" w:type="dxa"/>
              <w:left w:w="0" w:type="dxa"/>
              <w:bottom w:w="0" w:type="dxa"/>
              <w:right w:w="0" w:type="dxa"/>
            </w:tcMar>
            <w:vAlign w:val="center"/>
          </w:tcPr>
          <w:p>
            <w:pPr>
              <w:pStyle w:val="TableContents"/>
              <w:bidi w:val="0"/>
              <w:spacing w:lineRule="auto" w:line="240" w:before="160" w:after="160"/>
              <w:ind w:left="0" w:right="0" w:firstLine="180"/>
              <w:jc w:val="left"/>
              <w:rPr/>
            </w:pPr>
            <w:r>
              <w:rPr>
                <w:rFonts w:ascii="Times New Roman;serif" w:hAnsi="Times New Roman;serif"/>
                <w:b w:val="false"/>
                <w:color w:val="000000"/>
                <w:sz w:val="20"/>
              </w:rPr>
              <w:t xml:space="preserve">Item 3. </w:t>
            </w:r>
            <w:hyperlink w:anchor="i00949a80dd2a484ebedc9e0f9998be34_121">
              <w:r>
                <w:rPr>
                  <w:rStyle w:val="InternetLink"/>
                  <w:rFonts w:ascii="Times New Roman;serif" w:hAnsi="Times New Roman;serif"/>
                  <w:b w:val="false"/>
                  <w:color w:val="0000FF"/>
                  <w:sz w:val="20"/>
                  <w:u w:val="single"/>
                </w:rPr>
                <w:t>Defaults Upon Senior Securities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0949a80dd2a484ebedc9e0f9998be34_121">
              <w:r>
                <w:rPr>
                  <w:rStyle w:val="InternetLink"/>
                  <w:rFonts w:ascii="Times New Roman;serif" w:hAnsi="Times New Roman;serif"/>
                  <w:b w:val="false"/>
                  <w:color w:val="0000FF"/>
                  <w:sz w:val="20"/>
                  <w:u w:val="single"/>
                </w:rPr>
                <w:t>28</w:t>
              </w:r>
            </w:hyperlink>
          </w:p>
        </w:tc>
      </w:tr>
      <w:tr>
        <w:trPr/>
        <w:tc>
          <w:tcPr>
            <w:tcW w:w="9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59" w:type="dxa"/>
            <w:gridSpan w:val="3"/>
            <w:tcBorders/>
            <w:tcMar>
              <w:top w:w="0" w:type="dxa"/>
              <w:left w:w="0" w:type="dxa"/>
              <w:bottom w:w="0" w:type="dxa"/>
              <w:right w:w="0" w:type="dxa"/>
            </w:tcMar>
            <w:vAlign w:val="center"/>
          </w:tcPr>
          <w:p>
            <w:pPr>
              <w:pStyle w:val="TableContents"/>
              <w:bidi w:val="0"/>
              <w:spacing w:lineRule="auto" w:line="240" w:before="160" w:after="160"/>
              <w:ind w:left="0" w:right="0" w:firstLine="180"/>
              <w:jc w:val="left"/>
              <w:rPr/>
            </w:pPr>
            <w:r>
              <w:rPr>
                <w:rFonts w:ascii="Times New Roman;serif" w:hAnsi="Times New Roman;serif"/>
                <w:b w:val="false"/>
                <w:color w:val="000000"/>
                <w:sz w:val="20"/>
              </w:rPr>
              <w:t xml:space="preserve">Item 4. </w:t>
            </w:r>
            <w:hyperlink w:anchor="i00949a80dd2a484ebedc9e0f9998be34_124">
              <w:r>
                <w:rPr>
                  <w:rStyle w:val="InternetLink"/>
                  <w:rFonts w:ascii="Times New Roman;serif" w:hAnsi="Times New Roman;serif"/>
                  <w:b w:val="false"/>
                  <w:color w:val="0000FF"/>
                  <w:sz w:val="20"/>
                  <w:u w:val="single"/>
                </w:rPr>
                <w:t>Mine Safety Disclosures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0949a80dd2a484ebedc9e0f9998be34_124">
              <w:r>
                <w:rPr>
                  <w:rStyle w:val="InternetLink"/>
                  <w:rFonts w:ascii="Times New Roman;serif" w:hAnsi="Times New Roman;serif"/>
                  <w:b w:val="false"/>
                  <w:color w:val="0000FF"/>
                  <w:sz w:val="20"/>
                  <w:u w:val="single"/>
                </w:rPr>
                <w:t>28</w:t>
              </w:r>
            </w:hyperlink>
          </w:p>
        </w:tc>
      </w:tr>
      <w:tr>
        <w:trPr/>
        <w:tc>
          <w:tcPr>
            <w:tcW w:w="9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59" w:type="dxa"/>
            <w:gridSpan w:val="3"/>
            <w:tcBorders/>
            <w:tcMar>
              <w:top w:w="0" w:type="dxa"/>
              <w:left w:w="0" w:type="dxa"/>
              <w:bottom w:w="0" w:type="dxa"/>
              <w:right w:w="0" w:type="dxa"/>
            </w:tcMar>
            <w:vAlign w:val="center"/>
          </w:tcPr>
          <w:p>
            <w:pPr>
              <w:pStyle w:val="TableContents"/>
              <w:bidi w:val="0"/>
              <w:spacing w:lineRule="auto" w:line="240" w:before="160" w:after="160"/>
              <w:ind w:left="0" w:right="0" w:firstLine="180"/>
              <w:jc w:val="left"/>
              <w:rPr/>
            </w:pPr>
            <w:r>
              <w:rPr>
                <w:rFonts w:ascii="Times New Roman;serif" w:hAnsi="Times New Roman;serif"/>
                <w:b w:val="false"/>
                <w:color w:val="000000"/>
                <w:sz w:val="20"/>
              </w:rPr>
              <w:t xml:space="preserve">Item 5. </w:t>
            </w:r>
            <w:hyperlink w:anchor="i00949a80dd2a484ebedc9e0f9998be34_127">
              <w:r>
                <w:rPr>
                  <w:rStyle w:val="InternetLink"/>
                  <w:rFonts w:ascii="Times New Roman;serif" w:hAnsi="Times New Roman;serif"/>
                  <w:b w:val="false"/>
                  <w:color w:val="0000FF"/>
                  <w:sz w:val="20"/>
                  <w:u w:val="single"/>
                </w:rPr>
                <w:t>Other Information</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0949a80dd2a484ebedc9e0f9998be34_127">
              <w:r>
                <w:rPr>
                  <w:rStyle w:val="InternetLink"/>
                  <w:rFonts w:ascii="Times New Roman;serif" w:hAnsi="Times New Roman;serif"/>
                  <w:b w:val="false"/>
                  <w:color w:val="0000FF"/>
                  <w:sz w:val="20"/>
                  <w:u w:val="single"/>
                </w:rPr>
                <w:t>28</w:t>
              </w:r>
            </w:hyperlink>
          </w:p>
        </w:tc>
      </w:tr>
      <w:tr>
        <w:trPr/>
        <w:tc>
          <w:tcPr>
            <w:tcW w:w="9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59" w:type="dxa"/>
            <w:gridSpan w:val="3"/>
            <w:tcBorders/>
            <w:tcMar>
              <w:top w:w="0" w:type="dxa"/>
              <w:left w:w="0" w:type="dxa"/>
              <w:bottom w:w="0" w:type="dxa"/>
              <w:right w:w="0" w:type="dxa"/>
            </w:tcMar>
            <w:vAlign w:val="center"/>
          </w:tcPr>
          <w:p>
            <w:pPr>
              <w:pStyle w:val="TableContents"/>
              <w:bidi w:val="0"/>
              <w:spacing w:lineRule="auto" w:line="240" w:before="160" w:after="160"/>
              <w:ind w:left="0" w:right="0" w:firstLine="180"/>
              <w:jc w:val="left"/>
              <w:rPr/>
            </w:pPr>
            <w:r>
              <w:rPr>
                <w:rFonts w:ascii="Times New Roman;serif" w:hAnsi="Times New Roman;serif"/>
                <w:b w:val="false"/>
                <w:color w:val="000000"/>
                <w:sz w:val="20"/>
              </w:rPr>
              <w:t xml:space="preserve">Item 6. </w:t>
            </w:r>
            <w:hyperlink w:anchor="i00949a80dd2a484ebedc9e0f9998be34_133">
              <w:r>
                <w:rPr>
                  <w:rStyle w:val="InternetLink"/>
                  <w:rFonts w:ascii="Times New Roman;serif" w:hAnsi="Times New Roman;serif"/>
                  <w:b w:val="false"/>
                  <w:color w:val="0000FF"/>
                  <w:sz w:val="20"/>
                  <w:u w:val="single"/>
                </w:rPr>
                <w:t>Exhibits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0949a80dd2a484ebedc9e0f9998be34_133">
              <w:r>
                <w:rPr>
                  <w:rStyle w:val="InternetLink"/>
                  <w:rFonts w:ascii="Times New Roman;serif" w:hAnsi="Times New Roman;serif"/>
                  <w:b w:val="false"/>
                  <w:color w:val="0000FF"/>
                  <w:sz w:val="20"/>
                  <w:u w:val="single"/>
                </w:rPr>
                <w:t>29</w:t>
              </w:r>
            </w:hyperlink>
          </w:p>
        </w:tc>
      </w:tr>
      <w:tr>
        <w:trPr/>
        <w:tc>
          <w:tcPr>
            <w:tcW w:w="9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0949a80dd2a484ebedc9e0f9998be34_136">
              <w:r>
                <w:rPr>
                  <w:rStyle w:val="InternetLink"/>
                  <w:rFonts w:ascii="Times New Roman;serif" w:hAnsi="Times New Roman;serif"/>
                  <w:b w:val="false"/>
                  <w:color w:val="0000FF"/>
                  <w:sz w:val="20"/>
                  <w:u w:val="single"/>
                </w:rPr>
                <w:t>Signature</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0949a80dd2a484ebedc9e0f9998be34_136">
              <w:r>
                <w:rPr>
                  <w:rStyle w:val="InternetLink"/>
                  <w:rFonts w:ascii="Times New Roman;serif" w:hAnsi="Times New Roman;serif"/>
                  <w:b w:val="false"/>
                  <w:color w:val="0000FF"/>
                  <w:sz w:val="20"/>
                  <w:u w:val="single"/>
                </w:rPr>
                <w:t>30</w:t>
              </w:r>
            </w:hyperlink>
          </w:p>
        </w:tc>
      </w:tr>
    </w:tbl>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fiscal year ends on the Saturday nearest to January 31. As a result, “second quarter of 2026” and “second quarter of 2025” refer to the thirteen-week periods ended August 1, 2026 and August 2, 2025, respectively. “Year-to-date 2026” and “year-to-date 2025” refer to the twenty-six-week periods ended August 1, 2026 and August 2, 2025, respectively.</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00949a80dd2a484ebedc9e0f9998be34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I—FINANCIAL INFORMATION</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1. FINANCIAL STATEMENTS</w:t>
      </w:r>
    </w:p>
    <w:p>
      <w:pPr>
        <w:pStyle w:val="TextBody"/>
        <w:bidi w:val="0"/>
        <w:spacing w:before="0" w:after="0"/>
        <w:ind w:left="0" w:right="0" w:hanging="14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BATH &amp; BODY WORKS,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left"/>
        <w:rPr>
          <w:color w:val="000000"/>
        </w:rPr>
      </w:pPr>
      <w:r>
        <w:rPr>
          <w:color w:val="000000"/>
        </w:rPr>
        <w:t> </w:t>
      </w:r>
    </w:p>
    <w:tbl>
      <w:tblPr>
        <w:tblW w:w="9299" w:type="dxa"/>
        <w:jc w:val="left"/>
        <w:tblInd w:w="0" w:type="dxa"/>
        <w:tblLayout w:type="fixed"/>
        <w:tblCellMar>
          <w:top w:w="28" w:type="dxa"/>
          <w:left w:w="28" w:type="dxa"/>
          <w:bottom w:w="28" w:type="dxa"/>
          <w:right w:w="28" w:type="dxa"/>
        </w:tblCellMar>
      </w:tblPr>
      <w:tblGrid>
        <w:gridCol w:w="1640"/>
        <w:gridCol w:w="1438"/>
        <w:gridCol w:w="1451"/>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640"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Second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Year-to-Date</w:t>
            </w:r>
          </w:p>
        </w:tc>
      </w:tr>
      <w:tr>
        <w:trPr/>
        <w:tc>
          <w:tcPr>
            <w:tcW w:w="4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of Goods Sold, Buying and Occupancy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Administrative and Store Operating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Basic Share</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0.80 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Diluted Share</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0.58 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0.30 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0.79 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BATH &amp; BODY WORKS,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8565" w:type="dxa"/>
        <w:jc w:val="left"/>
        <w:tblInd w:w="0" w:type="dxa"/>
        <w:tblLayout w:type="fixed"/>
        <w:tblCellMar>
          <w:top w:w="28" w:type="dxa"/>
          <w:left w:w="28" w:type="dxa"/>
          <w:bottom w:w="28" w:type="dxa"/>
          <w:right w:w="28" w:type="dxa"/>
        </w:tblCellMar>
      </w:tblPr>
      <w:tblGrid>
        <w:gridCol w:w="1628"/>
        <w:gridCol w:w="1428"/>
        <w:gridCol w:w="1444"/>
        <w:gridCol w:w="211"/>
        <w:gridCol w:w="466"/>
        <w:gridCol w:w="109"/>
        <w:gridCol w:w="109"/>
        <w:gridCol w:w="109"/>
        <w:gridCol w:w="109"/>
        <w:gridCol w:w="211"/>
        <w:gridCol w:w="361"/>
        <w:gridCol w:w="109"/>
        <w:gridCol w:w="109"/>
        <w:gridCol w:w="109"/>
        <w:gridCol w:w="109"/>
        <w:gridCol w:w="211"/>
        <w:gridCol w:w="466"/>
        <w:gridCol w:w="109"/>
        <w:gridCol w:w="109"/>
        <w:gridCol w:w="109"/>
        <w:gridCol w:w="109"/>
        <w:gridCol w:w="211"/>
        <w:gridCol w:w="466"/>
        <w:gridCol w:w="154"/>
      </w:tblGrid>
      <w:tr>
        <w:trPr/>
        <w:tc>
          <w:tcPr>
            <w:tcW w:w="1628"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Second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Year-to-Date</w:t>
            </w:r>
          </w:p>
        </w:tc>
      </w:tr>
      <w:tr>
        <w:trPr/>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Foreign Currency Translation</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Unrealized Gain (Loss) on Cash Flow Hedges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Reclassification of Cash Flow Hedges to Earnings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Income (Loss), Net of Tax</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Comprehensive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00949a80dd2a484ebedc9e0f9998be34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BATH &amp; BODY WORKS,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par value amounts)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536"/>
        <w:gridCol w:w="2059"/>
        <w:gridCol w:w="2034"/>
        <w:gridCol w:w="215"/>
        <w:gridCol w:w="629"/>
        <w:gridCol w:w="111"/>
        <w:gridCol w:w="109"/>
        <w:gridCol w:w="109"/>
        <w:gridCol w:w="109"/>
        <w:gridCol w:w="217"/>
        <w:gridCol w:w="634"/>
        <w:gridCol w:w="112"/>
        <w:gridCol w:w="109"/>
        <w:gridCol w:w="109"/>
        <w:gridCol w:w="109"/>
        <w:gridCol w:w="215"/>
        <w:gridCol w:w="628"/>
        <w:gridCol w:w="161"/>
      </w:tblGrid>
      <w:tr>
        <w:trPr/>
        <w:tc>
          <w:tcPr>
            <w:tcW w:w="2536" w:type="dxa"/>
            <w:tcBorders/>
            <w:vAlign w:val="center"/>
          </w:tcPr>
          <w:p>
            <w:pPr>
              <w:pStyle w:val="TableContents"/>
              <w:bidi w:val="0"/>
              <w:spacing w:before="0" w:after="283"/>
              <w:jc w:val="left"/>
              <w:rPr>
                <w:sz w:val="4"/>
                <w:szCs w:val="4"/>
              </w:rPr>
            </w:pPr>
            <w:r>
              <w:rPr>
                <w:sz w:val="4"/>
                <w:szCs w:val="4"/>
              </w:rPr>
            </w:r>
          </w:p>
        </w:tc>
        <w:tc>
          <w:tcPr>
            <w:tcW w:w="2059" w:type="dxa"/>
            <w:tcBorders/>
            <w:vAlign w:val="center"/>
          </w:tcPr>
          <w:p>
            <w:pPr>
              <w:pStyle w:val="TableContents"/>
              <w:bidi w:val="0"/>
              <w:spacing w:before="0" w:after="283"/>
              <w:jc w:val="left"/>
              <w:rPr>
                <w:sz w:val="4"/>
                <w:szCs w:val="4"/>
              </w:rPr>
            </w:pPr>
            <w:r>
              <w:rPr>
                <w:sz w:val="4"/>
                <w:szCs w:val="4"/>
              </w:rPr>
            </w:r>
          </w:p>
        </w:tc>
        <w:tc>
          <w:tcPr>
            <w:tcW w:w="203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January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2,</w:t>
              <w:br/>
              <w:t>2025</w:t>
            </w:r>
          </w:p>
        </w:tc>
      </w:tr>
      <w:tr>
        <w:trPr/>
        <w:tc>
          <w:tcPr>
            <w:tcW w:w="6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6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9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Easton Assets Held for Sale</w:t>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8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2,050 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2,019 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1,706 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Assets</w:t>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w:t>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5,069 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 AND EQUITY (DEFICIT)</w:t>
            </w:r>
          </w:p>
        </w:tc>
        <w:tc>
          <w:tcPr>
            <w:tcW w:w="9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9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w:t>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Debt</w:t>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Operating Lease Liabilities</w:t>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w:t>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8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1,591 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Operating Lease Liabilities</w:t>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Shareholders’ Equity (Deficit):</w:t>
            </w:r>
          </w:p>
        </w:tc>
        <w:tc>
          <w:tcPr>
            <w:tcW w:w="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 $1.00 par value; 10 shares authorized; none issued</w:t>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 $0.50 par value; 1,000 shares authorized; 217, 216 and 223 shares issued; 202, 201 and 208 shares outstanding, respectively</w:t>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Paid-in Capital</w:t>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 (Accumulated Deficit)</w:t>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 Treasury Stock, at Average Cost; 15, 15 and 15 shares, respectively</w:t>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Shareholders’ Equity (Deficit)</w:t>
            </w:r>
          </w:p>
        </w:tc>
        <w:tc>
          <w:tcPr>
            <w:tcW w:w="8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(1,281)</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w:t>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 (Deficit)</w:t>
            </w:r>
          </w:p>
        </w:tc>
        <w:tc>
          <w:tcPr>
            <w:tcW w:w="8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Equity (Deficit)</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5,156 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5,069 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4,814 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00949a80dd2a484ebedc9e0f9998be34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BATH &amp; BODY WORKS,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TOTAL EQUITY (DEFICIT)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Second Quarter 2026 </w:t>
      </w:r>
    </w:p>
    <w:tbl>
      <w:tblPr>
        <w:tblW w:w="11163" w:type="dxa"/>
        <w:jc w:val="center"/>
        <w:tblInd w:w="0" w:type="dxa"/>
        <w:tblLayout w:type="fixed"/>
        <w:tblCellMar>
          <w:top w:w="28" w:type="dxa"/>
          <w:left w:w="28" w:type="dxa"/>
          <w:bottom w:w="28" w:type="dxa"/>
          <w:right w:w="28" w:type="dxa"/>
        </w:tblCellMar>
      </w:tblPr>
      <w:tblGrid>
        <w:gridCol w:w="612"/>
        <w:gridCol w:w="353"/>
        <w:gridCol w:w="236"/>
        <w:gridCol w:w="335"/>
        <w:gridCol w:w="335"/>
        <w:gridCol w:w="336"/>
        <w:gridCol w:w="109"/>
        <w:gridCol w:w="109"/>
        <w:gridCol w:w="109"/>
        <w:gridCol w:w="196"/>
        <w:gridCol w:w="421"/>
        <w:gridCol w:w="109"/>
        <w:gridCol w:w="109"/>
        <w:gridCol w:w="109"/>
        <w:gridCol w:w="109"/>
        <w:gridCol w:w="196"/>
        <w:gridCol w:w="421"/>
        <w:gridCol w:w="109"/>
        <w:gridCol w:w="109"/>
        <w:gridCol w:w="109"/>
        <w:gridCol w:w="109"/>
        <w:gridCol w:w="374"/>
        <w:gridCol w:w="632"/>
        <w:gridCol w:w="210"/>
        <w:gridCol w:w="109"/>
        <w:gridCol w:w="109"/>
        <w:gridCol w:w="109"/>
        <w:gridCol w:w="248"/>
        <w:gridCol w:w="724"/>
        <w:gridCol w:w="139"/>
        <w:gridCol w:w="109"/>
        <w:gridCol w:w="109"/>
        <w:gridCol w:w="109"/>
        <w:gridCol w:w="196"/>
        <w:gridCol w:w="461"/>
        <w:gridCol w:w="109"/>
        <w:gridCol w:w="109"/>
        <w:gridCol w:w="109"/>
        <w:gridCol w:w="109"/>
        <w:gridCol w:w="431"/>
        <w:gridCol w:w="530"/>
        <w:gridCol w:w="240"/>
        <w:gridCol w:w="109"/>
        <w:gridCol w:w="109"/>
        <w:gridCol w:w="109"/>
        <w:gridCol w:w="196"/>
        <w:gridCol w:w="571"/>
        <w:gridCol w:w="154"/>
      </w:tblGrid>
      <w:tr>
        <w:trPr/>
        <w:tc>
          <w:tcPr>
            <w:tcW w:w="61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Income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Earnings (Accumulated 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w:t>
              <w:br/>
              <w:t>Stock, at</w:t>
              <w:br/>
              <w:t>Average</w:t>
              <w:br/>
              <w:t>Cost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Equity (Deficit)</w:t>
            </w:r>
          </w:p>
        </w:tc>
      </w:tr>
      <w:tr>
        <w:trPr/>
        <w:tc>
          <w:tcPr>
            <w:tcW w:w="1201" w:type="dxa"/>
            <w:gridSpan w:val="3"/>
            <w:vMerge w:val="continue"/>
            <w:tcBorders/>
            <w:tcMar>
              <w:top w:w="0" w:type="dxa"/>
              <w:left w:w="0" w:type="dxa"/>
              <w:bottom w:w="0" w:type="dxa"/>
              <w:right w:w="0" w:type="dxa"/>
            </w:tcMar>
            <w:vAlign w:val="center"/>
          </w:tcPr>
          <w:p>
            <w:pPr>
              <w:pStyle w:val="Normal"/>
              <w:bidi w:val="0"/>
              <w:jc w:val="left"/>
              <w:rPr/>
            </w:pPr>
            <w:r>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br/>
              <w:t>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Par</w:t>
              <w:br/>
              <w:t>Value</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7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7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2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Balance, May 2, 2026</w:t>
            </w:r>
          </w:p>
        </w:tc>
        <w:tc>
          <w:tcPr>
            <w:tcW w:w="6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(1,292)</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Comprehensive Income</w:t>
            </w:r>
          </w:p>
        </w:tc>
        <w:tc>
          <w:tcPr>
            <w:tcW w:w="6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Cash Dividends ($0.20 per share)</w:t>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 and Other</w:t>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Balance, August 1, 2026</w:t>
            </w:r>
          </w:p>
        </w:tc>
        <w:tc>
          <w:tcPr>
            <w:tcW w:w="67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202 </w:t>
            </w:r>
          </w:p>
        </w:tc>
        <w:tc>
          <w:tcPr>
            <w:tcW w:w="3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73 </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(1,214)</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(1,054)</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Second Quarter 2025 </w:t>
      </w:r>
    </w:p>
    <w:tbl>
      <w:tblPr>
        <w:tblW w:w="11163" w:type="dxa"/>
        <w:jc w:val="center"/>
        <w:tblInd w:w="0" w:type="dxa"/>
        <w:tblLayout w:type="fixed"/>
        <w:tblCellMar>
          <w:top w:w="28" w:type="dxa"/>
          <w:left w:w="28" w:type="dxa"/>
          <w:bottom w:w="28" w:type="dxa"/>
          <w:right w:w="28" w:type="dxa"/>
        </w:tblCellMar>
      </w:tblPr>
      <w:tblGrid>
        <w:gridCol w:w="612"/>
        <w:gridCol w:w="353"/>
        <w:gridCol w:w="236"/>
        <w:gridCol w:w="335"/>
        <w:gridCol w:w="335"/>
        <w:gridCol w:w="336"/>
        <w:gridCol w:w="109"/>
        <w:gridCol w:w="109"/>
        <w:gridCol w:w="109"/>
        <w:gridCol w:w="196"/>
        <w:gridCol w:w="421"/>
        <w:gridCol w:w="109"/>
        <w:gridCol w:w="109"/>
        <w:gridCol w:w="109"/>
        <w:gridCol w:w="109"/>
        <w:gridCol w:w="196"/>
        <w:gridCol w:w="421"/>
        <w:gridCol w:w="109"/>
        <w:gridCol w:w="109"/>
        <w:gridCol w:w="109"/>
        <w:gridCol w:w="109"/>
        <w:gridCol w:w="374"/>
        <w:gridCol w:w="632"/>
        <w:gridCol w:w="210"/>
        <w:gridCol w:w="109"/>
        <w:gridCol w:w="109"/>
        <w:gridCol w:w="109"/>
        <w:gridCol w:w="248"/>
        <w:gridCol w:w="724"/>
        <w:gridCol w:w="139"/>
        <w:gridCol w:w="109"/>
        <w:gridCol w:w="109"/>
        <w:gridCol w:w="109"/>
        <w:gridCol w:w="196"/>
        <w:gridCol w:w="461"/>
        <w:gridCol w:w="109"/>
        <w:gridCol w:w="109"/>
        <w:gridCol w:w="109"/>
        <w:gridCol w:w="109"/>
        <w:gridCol w:w="431"/>
        <w:gridCol w:w="530"/>
        <w:gridCol w:w="240"/>
        <w:gridCol w:w="109"/>
        <w:gridCol w:w="109"/>
        <w:gridCol w:w="109"/>
        <w:gridCol w:w="196"/>
        <w:gridCol w:w="571"/>
        <w:gridCol w:w="154"/>
      </w:tblGrid>
      <w:tr>
        <w:trPr/>
        <w:tc>
          <w:tcPr>
            <w:tcW w:w="61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Income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Earnings (Accumulated 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w:t>
              <w:br/>
              <w:t>Stock, at</w:t>
              <w:br/>
              <w:t>Average</w:t>
              <w:br/>
              <w:t>Cost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Equity (Deficit)</w:t>
            </w:r>
          </w:p>
        </w:tc>
      </w:tr>
      <w:tr>
        <w:trPr/>
        <w:tc>
          <w:tcPr>
            <w:tcW w:w="1201" w:type="dxa"/>
            <w:gridSpan w:val="3"/>
            <w:vMerge w:val="continue"/>
            <w:tcBorders/>
            <w:tcMar>
              <w:top w:w="0" w:type="dxa"/>
              <w:left w:w="0" w:type="dxa"/>
              <w:bottom w:w="0" w:type="dxa"/>
              <w:right w:w="0" w:type="dxa"/>
            </w:tcMar>
            <w:vAlign w:val="center"/>
          </w:tcPr>
          <w:p>
            <w:pPr>
              <w:pStyle w:val="Normal"/>
              <w:bidi w:val="0"/>
              <w:jc w:val="left"/>
              <w:rPr/>
            </w:pPr>
            <w:r>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br/>
              <w:t>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Par</w:t>
              <w:br/>
              <w:t>Value</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7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7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2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May 3, 2025</w:t>
            </w:r>
          </w:p>
        </w:tc>
        <w:tc>
          <w:tcPr>
            <w:tcW w:w="6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(1,633)</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Comprehensive Income</w:t>
            </w:r>
          </w:p>
        </w:tc>
        <w:tc>
          <w:tcPr>
            <w:tcW w:w="6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Cash Dividends ($0.20 per share)</w:t>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Common Stock</w:t>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Treasury Share Retirement</w:t>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 and Other</w:t>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Balance, August 2, 2025</w:t>
            </w:r>
          </w:p>
        </w:tc>
        <w:tc>
          <w:tcPr>
            <w:tcW w:w="67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208 </w:t>
            </w:r>
          </w:p>
        </w:tc>
        <w:tc>
          <w:tcPr>
            <w:tcW w:w="3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73 </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(1,716)</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(1,547)</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00949a80dd2a484ebedc9e0f9998be34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BATH &amp; BODY WORKS,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TOTAL EQUITY (DEFICIT)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Year-to-Date 2026 </w:t>
      </w:r>
    </w:p>
    <w:tbl>
      <w:tblPr>
        <w:tblW w:w="11163" w:type="dxa"/>
        <w:jc w:val="center"/>
        <w:tblInd w:w="0" w:type="dxa"/>
        <w:tblLayout w:type="fixed"/>
        <w:tblCellMar>
          <w:top w:w="28" w:type="dxa"/>
          <w:left w:w="28" w:type="dxa"/>
          <w:bottom w:w="28" w:type="dxa"/>
          <w:right w:w="28" w:type="dxa"/>
        </w:tblCellMar>
      </w:tblPr>
      <w:tblGrid>
        <w:gridCol w:w="731"/>
        <w:gridCol w:w="234"/>
        <w:gridCol w:w="236"/>
        <w:gridCol w:w="335"/>
        <w:gridCol w:w="335"/>
        <w:gridCol w:w="336"/>
        <w:gridCol w:w="109"/>
        <w:gridCol w:w="109"/>
        <w:gridCol w:w="109"/>
        <w:gridCol w:w="196"/>
        <w:gridCol w:w="421"/>
        <w:gridCol w:w="109"/>
        <w:gridCol w:w="109"/>
        <w:gridCol w:w="109"/>
        <w:gridCol w:w="109"/>
        <w:gridCol w:w="196"/>
        <w:gridCol w:w="421"/>
        <w:gridCol w:w="109"/>
        <w:gridCol w:w="109"/>
        <w:gridCol w:w="109"/>
        <w:gridCol w:w="109"/>
        <w:gridCol w:w="374"/>
        <w:gridCol w:w="632"/>
        <w:gridCol w:w="210"/>
        <w:gridCol w:w="109"/>
        <w:gridCol w:w="109"/>
        <w:gridCol w:w="109"/>
        <w:gridCol w:w="248"/>
        <w:gridCol w:w="724"/>
        <w:gridCol w:w="139"/>
        <w:gridCol w:w="109"/>
        <w:gridCol w:w="109"/>
        <w:gridCol w:w="109"/>
        <w:gridCol w:w="196"/>
        <w:gridCol w:w="461"/>
        <w:gridCol w:w="109"/>
        <w:gridCol w:w="109"/>
        <w:gridCol w:w="109"/>
        <w:gridCol w:w="109"/>
        <w:gridCol w:w="431"/>
        <w:gridCol w:w="530"/>
        <w:gridCol w:w="240"/>
        <w:gridCol w:w="109"/>
        <w:gridCol w:w="109"/>
        <w:gridCol w:w="109"/>
        <w:gridCol w:w="196"/>
        <w:gridCol w:w="571"/>
        <w:gridCol w:w="154"/>
      </w:tblGrid>
      <w:tr>
        <w:trPr/>
        <w:tc>
          <w:tcPr>
            <w:tcW w:w="73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Income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Earnings (Accumulated 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w:t>
              <w:br/>
              <w:t>Stock, at</w:t>
              <w:br/>
              <w:t>Average</w:t>
              <w:br/>
              <w:t>Cost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Equity (Deficit)</w:t>
            </w:r>
          </w:p>
        </w:tc>
      </w:tr>
      <w:tr>
        <w:trPr/>
        <w:tc>
          <w:tcPr>
            <w:tcW w:w="1201" w:type="dxa"/>
            <w:gridSpan w:val="3"/>
            <w:vMerge w:val="continue"/>
            <w:tcBorders/>
            <w:tcMar>
              <w:top w:w="0" w:type="dxa"/>
              <w:left w:w="0" w:type="dxa"/>
              <w:bottom w:w="0" w:type="dxa"/>
              <w:right w:w="0" w:type="dxa"/>
            </w:tcMar>
            <w:vAlign w:val="center"/>
          </w:tcPr>
          <w:p>
            <w:pPr>
              <w:pStyle w:val="Normal"/>
              <w:bidi w:val="0"/>
              <w:jc w:val="left"/>
              <w:rPr/>
            </w:pPr>
            <w:r>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br/>
              <w:t>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Par</w:t>
              <w:br/>
              <w:t>Value</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7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7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2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Balance, January 31, 2026</w:t>
            </w:r>
          </w:p>
        </w:tc>
        <w:tc>
          <w:tcPr>
            <w:tcW w:w="6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(1,435)</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Net Income </w:t>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Comprehensive Income</w:t>
            </w:r>
          </w:p>
        </w:tc>
        <w:tc>
          <w:tcPr>
            <w:tcW w:w="6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Cash Dividends ($0.40 per share)</w:t>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 and Other</w:t>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Balance, August 1, 2026</w:t>
            </w:r>
          </w:p>
        </w:tc>
        <w:tc>
          <w:tcPr>
            <w:tcW w:w="67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202 </w:t>
            </w:r>
          </w:p>
        </w:tc>
        <w:tc>
          <w:tcPr>
            <w:tcW w:w="3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73 </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(1,214)</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(1,054)</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Year-to-Date 2025 </w:t>
      </w:r>
    </w:p>
    <w:tbl>
      <w:tblPr>
        <w:tblW w:w="11163" w:type="dxa"/>
        <w:jc w:val="center"/>
        <w:tblInd w:w="0" w:type="dxa"/>
        <w:tblLayout w:type="fixed"/>
        <w:tblCellMar>
          <w:top w:w="28" w:type="dxa"/>
          <w:left w:w="28" w:type="dxa"/>
          <w:bottom w:w="28" w:type="dxa"/>
          <w:right w:w="28" w:type="dxa"/>
        </w:tblCellMar>
      </w:tblPr>
      <w:tblGrid>
        <w:gridCol w:w="731"/>
        <w:gridCol w:w="234"/>
        <w:gridCol w:w="236"/>
        <w:gridCol w:w="335"/>
        <w:gridCol w:w="335"/>
        <w:gridCol w:w="336"/>
        <w:gridCol w:w="109"/>
        <w:gridCol w:w="109"/>
        <w:gridCol w:w="109"/>
        <w:gridCol w:w="196"/>
        <w:gridCol w:w="421"/>
        <w:gridCol w:w="109"/>
        <w:gridCol w:w="109"/>
        <w:gridCol w:w="109"/>
        <w:gridCol w:w="109"/>
        <w:gridCol w:w="196"/>
        <w:gridCol w:w="421"/>
        <w:gridCol w:w="109"/>
        <w:gridCol w:w="109"/>
        <w:gridCol w:w="109"/>
        <w:gridCol w:w="109"/>
        <w:gridCol w:w="374"/>
        <w:gridCol w:w="632"/>
        <w:gridCol w:w="210"/>
        <w:gridCol w:w="109"/>
        <w:gridCol w:w="109"/>
        <w:gridCol w:w="109"/>
        <w:gridCol w:w="248"/>
        <w:gridCol w:w="724"/>
        <w:gridCol w:w="139"/>
        <w:gridCol w:w="109"/>
        <w:gridCol w:w="109"/>
        <w:gridCol w:w="109"/>
        <w:gridCol w:w="196"/>
        <w:gridCol w:w="461"/>
        <w:gridCol w:w="109"/>
        <w:gridCol w:w="109"/>
        <w:gridCol w:w="109"/>
        <w:gridCol w:w="109"/>
        <w:gridCol w:w="431"/>
        <w:gridCol w:w="530"/>
        <w:gridCol w:w="240"/>
        <w:gridCol w:w="109"/>
        <w:gridCol w:w="109"/>
        <w:gridCol w:w="109"/>
        <w:gridCol w:w="196"/>
        <w:gridCol w:w="571"/>
        <w:gridCol w:w="154"/>
      </w:tblGrid>
      <w:tr>
        <w:trPr/>
        <w:tc>
          <w:tcPr>
            <w:tcW w:w="73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Income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Earnings (Accumulated 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w:t>
              <w:br/>
              <w:t>Stock, at</w:t>
              <w:br/>
              <w:t>Average</w:t>
              <w:br/>
              <w:t>Cost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Equity (Deficit)</w:t>
            </w:r>
          </w:p>
        </w:tc>
      </w:tr>
      <w:tr>
        <w:trPr/>
        <w:tc>
          <w:tcPr>
            <w:tcW w:w="1201" w:type="dxa"/>
            <w:gridSpan w:val="3"/>
            <w:vMerge w:val="continue"/>
            <w:tcBorders/>
            <w:tcMar>
              <w:top w:w="0" w:type="dxa"/>
              <w:left w:w="0" w:type="dxa"/>
              <w:bottom w:w="0" w:type="dxa"/>
              <w:right w:w="0" w:type="dxa"/>
            </w:tcMar>
            <w:vAlign w:val="center"/>
          </w:tcPr>
          <w:p>
            <w:pPr>
              <w:pStyle w:val="Normal"/>
              <w:bidi w:val="0"/>
              <w:jc w:val="left"/>
              <w:rPr/>
            </w:pPr>
            <w:r>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br/>
              <w:t>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Par</w:t>
              <w:br/>
              <w:t>Value</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7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7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2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Balance, February 1, 2025</w:t>
            </w:r>
          </w:p>
        </w:tc>
        <w:tc>
          <w:tcPr>
            <w:tcW w:w="6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(1,578)</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Comprehensive Income</w:t>
            </w:r>
          </w:p>
        </w:tc>
        <w:tc>
          <w:tcPr>
            <w:tcW w:w="6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Cash Dividends ($0.40 per share)</w:t>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Common Stock</w:t>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Treasury Share Retirement</w:t>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 and Other</w:t>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Balance, August 2, 2025</w:t>
            </w:r>
          </w:p>
        </w:tc>
        <w:tc>
          <w:tcPr>
            <w:tcW w:w="67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208 </w:t>
            </w:r>
          </w:p>
        </w:tc>
        <w:tc>
          <w:tcPr>
            <w:tcW w:w="3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73 </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(1,716)</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(1,547)</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00949a80dd2a484ebedc9e0f9998be34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BATH &amp; BODY WORKS,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8919" w:type="dxa"/>
        <w:jc w:val="center"/>
        <w:tblInd w:w="0" w:type="dxa"/>
        <w:tblLayout w:type="fixed"/>
        <w:tblCellMar>
          <w:top w:w="28" w:type="dxa"/>
          <w:left w:w="28" w:type="dxa"/>
          <w:bottom w:w="28" w:type="dxa"/>
          <w:right w:w="28" w:type="dxa"/>
        </w:tblCellMar>
      </w:tblPr>
      <w:tblGrid>
        <w:gridCol w:w="2528"/>
        <w:gridCol w:w="2218"/>
        <w:gridCol w:w="2229"/>
        <w:gridCol w:w="211"/>
        <w:gridCol w:w="466"/>
        <w:gridCol w:w="109"/>
        <w:gridCol w:w="109"/>
        <w:gridCol w:w="109"/>
        <w:gridCol w:w="109"/>
        <w:gridCol w:w="211"/>
        <w:gridCol w:w="466"/>
        <w:gridCol w:w="154"/>
      </w:tblGrid>
      <w:tr>
        <w:trPr/>
        <w:tc>
          <w:tcPr>
            <w:tcW w:w="2528" w:type="dxa"/>
            <w:tcBorders/>
            <w:vAlign w:val="center"/>
          </w:tcPr>
          <w:p>
            <w:pPr>
              <w:pStyle w:val="TableContents"/>
              <w:bidi w:val="0"/>
              <w:spacing w:before="0" w:after="283"/>
              <w:jc w:val="left"/>
              <w:rPr>
                <w:sz w:val="4"/>
                <w:szCs w:val="4"/>
              </w:rPr>
            </w:pPr>
            <w:r>
              <w:rPr>
                <w:sz w:val="4"/>
                <w:szCs w:val="4"/>
              </w:rPr>
            </w:r>
          </w:p>
        </w:tc>
        <w:tc>
          <w:tcPr>
            <w:tcW w:w="2218"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Year-to-Date</w:t>
            </w:r>
          </w:p>
        </w:tc>
      </w:tr>
      <w:tr>
        <w:trPr/>
        <w:tc>
          <w:tcPr>
            <w:tcW w:w="6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of Long-lived Assets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697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Benefit from Resolution of Certain Tax Matters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Accrued Expenses and Other</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and Liabilities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Non-core Asset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Investing Activities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for Investing Activities</w:t>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Long-term Debt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Paid</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697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Financing Activities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for Financing Activities</w:t>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Effects of Exchange Rate Changes on Cash and Cash Equivalents</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Cash and Cash Equivalents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Beginning of Year</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00949a80dd2a484ebedc9e0f9998be34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BATH &amp; BODY WORKS,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60"/>
        <w:jc w:val="left"/>
        <w:rPr>
          <w:rFonts w:ascii="Times New Roman;serif" w:hAnsi="Times New Roman;serif"/>
          <w:b/>
          <w:color w:val="000000"/>
          <w:sz w:val="20"/>
        </w:rPr>
      </w:pPr>
      <w:r>
        <w:rPr>
          <w:rFonts w:ascii="Times New Roman;serif" w:hAnsi="Times New Roman;serif"/>
          <w:b/>
          <w:color w:val="000000"/>
          <w:sz w:val="20"/>
        </w:rPr>
        <w:t>1. Description of Business and Basis of Presentation</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Description of Business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Bath &amp; Body Works, Inc. (the “Company”) is a global leader in personal care and home fragrance. The Company sells merchandise through its retail stores in the United States of America (“U.S.”) and Canada, and through its e-commerce sites and other channels. The Company’s international business is conducted through franchise, license and wholesale partners.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Fiscal Year</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uses the retail calendar for reporting and its fiscal year ends on the Saturday nearest to January 31. As a result, “second quarter of 2026” and “second quarter of 2025” refer to the thirteen-week periods ended August 1, 2026 and August 2, 2025, respectively. “Year-to-date 2026” and “year-to-date 2025” refer to the twenty-six-week periods ended August 1, 2026 and August 2, 2025, respectively. References to “quarter” and “year” each refer to the fiscal calendar period.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Basis of Consolidation</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Consolidated Financial Statements include the accounts of the Company and its subsidiaries. All significant intercompany balances and transactions have been eliminated in consolidation. The Company accounts for investments in unconsolidated entities where it exercises significant influence, but does not have control, using the equity method. Under the equity method of accounting, the Company recognizes its share of the investee’s net income or loss. Losses are only recognized to the extent the Company has positive carrying value related to the investee. Carrying values are only reduced below zero if the Company has an obligation to provide funding to the investee. The Company’s share of net income or loss of all unconsolidated entities is included in Other Income, Net in the Consolidated Statements of Income. The Company’s equity method investments are required to be reviewed for impairment when it is determined there may be an other-than-temporary loss in value.</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Interim Financial Statements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Consolidated Financial Statements as of and for the periods ended August 1, 2026 and August 2, 2025 are unaudited and are presented pursuant to the rules and regulations of the Securities and Exchange Commission. These Consolidated Financial Statements should be read in conjunction with the Consolidated Financial Statements and Notes thereto contained in the Company’s 2025 Annual Report on Form 10-K.</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 the opinion of management, the accompanying Consolidated Financial Statements reflect all adjustments that are of a normal recurring nature and necessary for a fair presentation of the results for the interim periods.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Seasonality of Business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Company’s operations are seasonal in nature and the fourth quarter of the fiscal year, including the holiday selling season, typically accounts for the highest Net Sales and is its most profitable quarter. Due to the seasonal variations in the retail industry, the results of operations for the interim periods are not necessarily indicative of the results expected for the full fiscal year.</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Derivative Financial Instruments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Company’s Canadian dollar denominated earnings are subject to exchange rate risk as substantially all the Company’s merchandise sold in Canada is sourced through U.S. dollar transactions. The Company uses foreign currency forward contracts designated as cash flow hedges to mitigate this foreign currency exposure. Amounts are reclassified from Accumulated Other Comprehensive Income upon sale of the hedged merchandise to the customer. These gains and losses are recognized in Costs of Goods Sold, Buying and Occupancy in the Consolidated Statements of Income. All designated cash flow hedges are recorded on the Consolidated Balance Sheets at fair value. The fair value of designated cash flow hedges is not significant for any period presented. The Company does not use derivative financial instruments for trading purposes.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Supplier Finance Program</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 the fourth quarter of 2024, the Company implemented a supply chain finance (“SCF”) program agreement with a third-party financial institution, whereby the Company’s merchandise suppliers have the opportunity to settle outstanding payment obligations early, at a discount, facilitated by the financial institution. Since implementation, merchandise suppliers have continued to join the program. The Company’s obligations to its suppliers, including amounts due and scheduled payment terms, are not impacted by suppliers’ participation in the arrangement and the Company provides no guarantees to any third parties under the SCF program. Amounts due under the SCF program are included in Accounts Payable in the Consolidated Balance Sheets and within Operating Activities in the Consolidated Statements of Cash Flows. Amounts due under the SCF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00949a80dd2a484ebedc9e0f9998be34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program were $208 million, $115 million and $90 million as of August 1, 2026, January 31, 2026 and August 2, 2025, respectively.</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Concentration of Credit Risk</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Company maintains cash and cash equivalents and derivative contracts with various major financial institutions. The Company monitors the relative credit standing of financial institutions with whom it transacts and limits the amount of credit exposure with any one entity. The Company’s investment portfolio is primarily composed of U.S. government obligations, U.S. Treasury and AAA-rated money market funds, commercial paper and bank deposits.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Company also periodically reviews the relative credit standing of franchise, license and wholesale partners and other entities to which it grants credit terms in the normal course of business. The Company determines the required allowance for expected credit losses using information such as customer credit history and financial condition. Amounts are recorded to the allowance when it is determined that expected credit losses may occur.</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Easton Investments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land and other investments in Easton, a planned community in Columbus, Ohio, that integrates office, hotel, retail, residential and recreational space. Beginning in the fourth quarter of 2024, certain of these investments met all of the required criteria for held for sale presentation, which requires assets to be reported at the lower of their carrying value or fair value less costs to sell. The investments classified as held for sale, consisting primarily of undeveloped land, are reported at their carrying value, which was $81 million as of August 1, 2026, January 31, 2026 and August 2, 2025, within Current Assets on the Consolidated Balance Sheets.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During the second quarter of 2025, the Company changed its plan of sale for its Easton investments, causing certain of these investments to no longer meet the held for sale criteria. As a result of this change, the Company reclassified $17 million of carrying value from Current Assets to long-term Other Assets during the second quarter of 2025. The Company’s Easton investments not presented as held for sale and reported in Other Assets were $34 million, $38 million and $40 million as of August 1, 2026, January 31, 2026 and August 2, 2025, respectively.</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Interchange Fee Settlements</w:t>
      </w:r>
    </w:p>
    <w:p>
      <w:pPr>
        <w:pStyle w:val="TextBody"/>
        <w:bidi w:val="0"/>
        <w:spacing w:lineRule="auto" w:line="288" w:before="60" w:after="120"/>
        <w:jc w:val="left"/>
        <w:rPr>
          <w:rFonts w:ascii="Times New Roman;serif" w:hAnsi="Times New Roman;serif"/>
          <w:b w:val="false"/>
          <w:color w:val="000000"/>
          <w:sz w:val="20"/>
        </w:rPr>
      </w:pPr>
      <w:r>
        <w:rPr>
          <w:rFonts w:ascii="Times New Roman;serif" w:hAnsi="Times New Roman;serif"/>
          <w:b w:val="false"/>
          <w:color w:val="000000"/>
          <w:sz w:val="20"/>
        </w:rPr>
        <w:t>In the first quarter of 2026, the Company entered into settlement agreements to resolve payment card interchange fee litigation. As a result of the settlements, the Company recognized a pre-tax gain of $88 million, net of legal fees, as a reduction of General, Administrative and Store Operating Expenses in the year-to-date 2026 Consolidated Statement of Income.</w:t>
      </w:r>
    </w:p>
    <w:p>
      <w:pPr>
        <w:pStyle w:val="TextBody"/>
        <w:bidi w:val="0"/>
        <w:spacing w:lineRule="auto" w:line="288" w:before="60" w:after="60"/>
        <w:jc w:val="left"/>
        <w:rPr>
          <w:rFonts w:ascii="Times New Roman;serif" w:hAnsi="Times New Roman;serif"/>
          <w:b/>
          <w:i/>
          <w:color w:val="000000"/>
          <w:sz w:val="20"/>
        </w:rPr>
      </w:pPr>
      <w:r>
        <w:rPr>
          <w:rFonts w:ascii="Times New Roman;serif" w:hAnsi="Times New Roman;serif"/>
          <w:b/>
          <w:i/>
          <w:color w:val="000000"/>
          <w:sz w:val="20"/>
        </w:rPr>
        <w:t>IEEPA Tariff Refunds</w:t>
      </w:r>
    </w:p>
    <w:p>
      <w:pPr>
        <w:pStyle w:val="TextBody"/>
        <w:bidi w:val="0"/>
        <w:spacing w:lineRule="auto" w:line="288" w:before="60" w:after="120"/>
        <w:jc w:val="left"/>
        <w:rPr>
          <w:rFonts w:ascii="Times New Roman;serif" w:hAnsi="Times New Roman;serif"/>
          <w:b w:val="false"/>
          <w:color w:val="000000"/>
          <w:sz w:val="20"/>
        </w:rPr>
      </w:pPr>
      <w:r>
        <w:rPr>
          <w:rFonts w:ascii="Times New Roman;serif" w:hAnsi="Times New Roman;serif"/>
          <w:b w:val="false"/>
          <w:color w:val="000000"/>
          <w:sz w:val="20"/>
        </w:rPr>
        <w:t>In February 2026, the U.S. Supreme Court issued a decision invalidating tariffs imposed under the International Emergency Economic Powers Act (“IEEPA”). In March 2026, the U.S. Court of International Trade ordered U.S. Customs and Border Protection (“CBP”) to liquidate all non-final entries without regard to IEEPA duties. Additionally, in April 2026, CBP launched Phase 1 of the new Consolidated Administration and Processing of Entries tool in the Automated Commercial Environment portal, creating a process for submitting IEEPA refund claims.</w:t>
      </w:r>
    </w:p>
    <w:p>
      <w:pPr>
        <w:pStyle w:val="TextBody"/>
        <w:bidi w:val="0"/>
        <w:spacing w:lineRule="auto" w:line="288" w:before="60" w:after="120"/>
        <w:jc w:val="left"/>
        <w:rPr>
          <w:rFonts w:ascii="Times New Roman;serif" w:hAnsi="Times New Roman;serif"/>
          <w:b w:val="false"/>
          <w:color w:val="000000"/>
          <w:sz w:val="20"/>
        </w:rPr>
      </w:pPr>
      <w:r>
        <w:rPr>
          <w:rFonts w:ascii="Times New Roman;serif" w:hAnsi="Times New Roman;serif"/>
          <w:b w:val="false"/>
          <w:color w:val="000000"/>
          <w:sz w:val="20"/>
        </w:rPr>
        <w:t>In the second quarter of 2026, the Company received approximately $85 million of IEEPA tariff refunds and related interest. The Company recognized approximately $80 million of these refunds as a reduction to Cost of Goods Sold, Buying and Occupancy, with the interest portion recognized in Other Income, Net, in the 2026 Consolidated Statements of Income. This represents the significant majority of refunds the Company expects to receive.</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Use of Estimates in the Preparation of Financial Statements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U.S. generally accepted accounting principles requires management to make estimates and assumptions that affect the reported amounts of assets and liabilities at the date of the financial statements and the reported amounts of revenues and expenses during the reporting period, as well as the related disclosure of contingent assets and liabilities at the date of the financial statements. Actual results may differ from those estimates, and the Company revises its estimates and assumptions as new information becomes available.</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Recently Issued Accounting Pronouncements</w:t>
      </w:r>
    </w:p>
    <w:p>
      <w:pPr>
        <w:pStyle w:val="TextBody"/>
        <w:bidi w:val="0"/>
        <w:spacing w:lineRule="auto" w:line="288" w:before="0" w:after="120"/>
        <w:jc w:val="left"/>
        <w:rPr/>
      </w:pPr>
      <w:r>
        <w:rPr>
          <w:rFonts w:ascii="Times New Roman;serif" w:hAnsi="Times New Roman;serif"/>
          <w:b w:val="false"/>
          <w:color w:val="000000"/>
          <w:sz w:val="20"/>
        </w:rPr>
        <w:t xml:space="preserve">In November 2024, the Financial Accounting Standards Board issued Accounting Standards Update 2024-03, </w:t>
      </w:r>
      <w:r>
        <w:rPr>
          <w:rFonts w:ascii="Times New Roman;serif" w:hAnsi="Times New Roman;serif"/>
          <w:b w:val="false"/>
          <w:i/>
          <w:color w:val="000000"/>
          <w:sz w:val="20"/>
        </w:rPr>
        <w:t>Disaggregation of Income Statement Expenses</w:t>
      </w:r>
      <w:r>
        <w:rPr>
          <w:rFonts w:ascii="Times New Roman;serif" w:hAnsi="Times New Roman;serif"/>
          <w:b w:val="false"/>
          <w:color w:val="000000"/>
          <w:sz w:val="20"/>
        </w:rPr>
        <w:t>, which requires disclosures of disaggregated information about certain prescribed expense categories within relevant income statement expense captions. This standard is effective for annual reporting of fiscal years beginning after December 15, 2026, and for interim periods in the following year, with early adoption permitted. This standard should be applied prospectively, with retrospective application permitted. The Company is currently evaluating the impact of adopting this standard on its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00949a80dd2a484ebedc9e0f9998be34_10">
        <w:r>
          <w:rPr>
            <w:rStyle w:val="InternetLink"/>
            <w:rFonts w:ascii="Times New Roman;serif" w:hAnsi="Times New Roman;serif"/>
            <w:b w:val="false"/>
            <w:color w:val="0000FF"/>
            <w:sz w:val="16"/>
            <w:u w:val="single"/>
          </w:rPr>
          <w:t>Table of Contents</w:t>
        </w:r>
      </w:hyperlink>
    </w:p>
    <w:p>
      <w:pPr>
        <w:pStyle w:val="TextBody"/>
        <w:bidi w:val="0"/>
        <w:spacing w:lineRule="auto" w:line="288" w:before="60" w:after="60"/>
        <w:jc w:val="left"/>
        <w:rPr>
          <w:rFonts w:ascii="Times New Roman;serif" w:hAnsi="Times New Roman;serif"/>
          <w:b/>
          <w:color w:val="000000"/>
          <w:sz w:val="20"/>
        </w:rPr>
      </w:pPr>
      <w:r>
        <w:rPr>
          <w:rFonts w:ascii="Times New Roman;serif" w:hAnsi="Times New Roman;serif"/>
          <w:b/>
          <w:color w:val="000000"/>
          <w:sz w:val="20"/>
        </w:rPr>
        <w:t>2. Revenue Recognition</w:t>
      </w:r>
    </w:p>
    <w:p>
      <w:pPr>
        <w:pStyle w:val="TextBody"/>
        <w:bidi w:val="0"/>
        <w:spacing w:lineRule="auto" w:line="288" w:before="60" w:after="60"/>
        <w:jc w:val="left"/>
        <w:rPr>
          <w:rFonts w:ascii="Times New Roman;serif" w:hAnsi="Times New Roman;serif"/>
          <w:b w:val="false"/>
          <w:color w:val="000000"/>
          <w:sz w:val="20"/>
        </w:rPr>
      </w:pPr>
      <w:r>
        <w:rPr>
          <w:rFonts w:ascii="Times New Roman;serif" w:hAnsi="Times New Roman;serif"/>
          <w:b w:val="false"/>
          <w:color w:val="000000"/>
          <w:sz w:val="20"/>
        </w:rPr>
        <w:t xml:space="preserve">Accounts receivable, net from revenue-generating activities were $98 million as of August 1, 2026, $66 million as of January 31, 2026 and $75 million as of August 2, 2025. These accounts receivable primarily relate to amounts due from the Company’s franchise, license and wholesale partners. Under these arrangements, payment terms are typically 45 to 75 days.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records deferred revenue when cash payments are received in advance of transfer of control of goods or services. Deferred revenue primarily relates to gift cards, loyalty points and rewards, and direct channel shipments not received by the customer, which are all impacted by seasonal and holiday-related sales patterns. Deferred revenue, which is recorded within Accrued Expenses and Other on the Consolidated Balance Sheets, was $195 million as of August 1, 2026, $223 million as of January 31, 2026 and $172 million as of August 2, 2025. The Company recognized $93 million as revenue during year-to-date 2026 from amounts recorded as deferred revenue at the beginning of its fiscal year.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disaggregation of Net Sales for the second quarters of and year-to-date 2026 and 2025:</w:t>
      </w:r>
    </w:p>
    <w:tbl>
      <w:tblPr>
        <w:tblW w:w="7125" w:type="dxa"/>
        <w:jc w:val="left"/>
        <w:tblInd w:w="0" w:type="dxa"/>
        <w:tblLayout w:type="fixed"/>
        <w:tblCellMar>
          <w:top w:w="28" w:type="dxa"/>
          <w:left w:w="28" w:type="dxa"/>
          <w:bottom w:w="28" w:type="dxa"/>
          <w:right w:w="28" w:type="dxa"/>
        </w:tblCellMar>
      </w:tblPr>
      <w:tblGrid>
        <w:gridCol w:w="851"/>
        <w:gridCol w:w="749"/>
        <w:gridCol w:w="755"/>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85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Second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Year-to-Date</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Stores - U.S. and Canada (a)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 - U.S. and Canada</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 and Other (b)</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Net Sales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lineRule="auto" w:line="288" w:before="0" w:after="6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(a)Results include fulfilled buy online pick up in store orders.</w:t>
      </w:r>
    </w:p>
    <w:p>
      <w:pPr>
        <w:pStyle w:val="TextBody"/>
        <w:bidi w:val="0"/>
        <w:spacing w:lineRule="auto" w:line="288" w:before="0" w:after="6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(b)Results include royalties associated with franchised stores, as well as international and domestic wholesale sales.</w:t>
      </w:r>
    </w:p>
    <w:p>
      <w:pPr>
        <w:pStyle w:val="TextBody"/>
        <w:bidi w:val="0"/>
        <w:spacing w:lineRule="auto" w:line="288" w:before="180" w:after="120"/>
        <w:jc w:val="left"/>
        <w:rPr>
          <w:rFonts w:ascii="Times New Roman;serif" w:hAnsi="Times New Roman;serif"/>
          <w:b w:val="false"/>
          <w:color w:val="000000"/>
          <w:sz w:val="20"/>
        </w:rPr>
      </w:pPr>
      <w:r>
        <w:rPr>
          <w:rFonts w:ascii="Times New Roman;serif" w:hAnsi="Times New Roman;serif"/>
          <w:b w:val="false"/>
          <w:color w:val="000000"/>
          <w:sz w:val="20"/>
        </w:rPr>
        <w:t>The Company’s Net Sales outside of the U.S. include sales from Company-operated stores and its e-commerce site in Canada, royalties associated with franchised stores and international wholesale sales. Certain of these sales are subject to the impact of fluctuations in foreign currency. The Company’s Net Sales outside of the U.S. totaled $171 million and $167 million for the second quarters of 2026 and 2025, respectively, and $307 million and $299 million for year-to-date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60"/>
        <w:jc w:val="left"/>
        <w:rPr>
          <w:rFonts w:ascii="Times New Roman;serif" w:hAnsi="Times New Roman;serif"/>
          <w:b/>
          <w:color w:val="000000"/>
          <w:sz w:val="20"/>
        </w:rPr>
      </w:pPr>
      <w:r>
        <w:rPr>
          <w:rFonts w:ascii="Times New Roman;serif" w:hAnsi="Times New Roman;serif"/>
          <w:b/>
          <w:color w:val="000000"/>
          <w:sz w:val="20"/>
        </w:rPr>
        <w:t>3. Net Income Per Share and Shareholders’ Equity (Deficit)</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Net Income Per Share</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Net Income per Basic Share is computed based on the weighted-average number of common shares outstanding. Net Income per Diluted Share includes the weighted-average effect of dilutive restricted share units, performance share units and stock options (collectively, “Dilutive Awards”) on the weighted-average common shares outstanding.</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the weighted-average shares utilized for the calculation of Net Income per Basic and Diluted Share for the second quarters of and year-to-date 2026 and 2025:</w:t>
      </w:r>
    </w:p>
    <w:tbl>
      <w:tblPr>
        <w:tblW w:w="5828" w:type="dxa"/>
        <w:jc w:val="left"/>
        <w:tblInd w:w="0" w:type="dxa"/>
        <w:tblLayout w:type="fixed"/>
        <w:tblCellMar>
          <w:top w:w="28" w:type="dxa"/>
          <w:left w:w="28" w:type="dxa"/>
          <w:bottom w:w="28" w:type="dxa"/>
          <w:right w:w="28" w:type="dxa"/>
        </w:tblCellMar>
      </w:tblPr>
      <w:tblGrid>
        <w:gridCol w:w="787"/>
        <w:gridCol w:w="692"/>
        <w:gridCol w:w="696"/>
        <w:gridCol w:w="233"/>
        <w:gridCol w:w="233"/>
        <w:gridCol w:w="156"/>
        <w:gridCol w:w="140"/>
        <w:gridCol w:w="140"/>
        <w:gridCol w:w="140"/>
        <w:gridCol w:w="233"/>
        <w:gridCol w:w="233"/>
        <w:gridCol w:w="156"/>
        <w:gridCol w:w="109"/>
        <w:gridCol w:w="109"/>
        <w:gridCol w:w="109"/>
        <w:gridCol w:w="233"/>
        <w:gridCol w:w="233"/>
        <w:gridCol w:w="156"/>
        <w:gridCol w:w="119"/>
        <w:gridCol w:w="119"/>
        <w:gridCol w:w="119"/>
        <w:gridCol w:w="233"/>
        <w:gridCol w:w="233"/>
        <w:gridCol w:w="217"/>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Second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Year-to-Date</w:t>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3"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Shares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Shares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 Shares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Awards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 Shares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Anti-dilutive Awards (a)</w:t>
            </w:r>
          </w:p>
        </w:tc>
        <w:tc>
          <w:tcPr>
            <w:tcW w:w="46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color w:val="000000"/>
        </w:rPr>
      </w:pPr>
      <w:r>
        <w:rPr>
          <w:color w:val="000000"/>
        </w:rPr>
        <w:t> </w:t>
      </w:r>
      <w:r>
        <w:rPr>
          <w:rFonts w:ascii="Times New Roman;serif" w:hAnsi="Times New Roman;serif"/>
          <w:b w:val="false"/>
          <w:color w:val="000000"/>
          <w:sz w:val="20"/>
        </w:rPr>
        <w:t>_______________</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(a)These awards were excluded from the calculation of Net Income per Diluted Share because their inclusion would have been anti-dilutive.</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Common Stock Repurchases and Retirements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 did not repurchase any shares of its common stock during year-to-date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00949a80dd2a484ebedc9e0f9998be34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Under the authority of the Company’s Board of Directors, the Company repurchased shares of its common stock under the following repurchase programs during year-to-date 2025:</w:t>
      </w:r>
    </w:p>
    <w:tbl>
      <w:tblPr>
        <w:tblW w:w="7931" w:type="dxa"/>
        <w:jc w:val="center"/>
        <w:tblInd w:w="0" w:type="dxa"/>
        <w:tblLayout w:type="fixed"/>
        <w:tblCellMar>
          <w:top w:w="28" w:type="dxa"/>
          <w:left w:w="28" w:type="dxa"/>
          <w:bottom w:w="28" w:type="dxa"/>
          <w:right w:w="28" w:type="dxa"/>
        </w:tblCellMar>
      </w:tblPr>
      <w:tblGrid>
        <w:gridCol w:w="440"/>
        <w:gridCol w:w="387"/>
        <w:gridCol w:w="388"/>
        <w:gridCol w:w="109"/>
        <w:gridCol w:w="109"/>
        <w:gridCol w:w="109"/>
        <w:gridCol w:w="257"/>
        <w:gridCol w:w="569"/>
        <w:gridCol w:w="134"/>
        <w:gridCol w:w="109"/>
        <w:gridCol w:w="109"/>
        <w:gridCol w:w="109"/>
        <w:gridCol w:w="109"/>
        <w:gridCol w:w="109"/>
        <w:gridCol w:w="374"/>
        <w:gridCol w:w="374"/>
        <w:gridCol w:w="376"/>
        <w:gridCol w:w="109"/>
        <w:gridCol w:w="109"/>
        <w:gridCol w:w="109"/>
        <w:gridCol w:w="109"/>
        <w:gridCol w:w="109"/>
        <w:gridCol w:w="278"/>
        <w:gridCol w:w="614"/>
        <w:gridCol w:w="144"/>
        <w:gridCol w:w="109"/>
        <w:gridCol w:w="109"/>
        <w:gridCol w:w="109"/>
        <w:gridCol w:w="109"/>
        <w:gridCol w:w="109"/>
        <w:gridCol w:w="351"/>
        <w:gridCol w:w="1027"/>
        <w:gridCol w:w="256"/>
      </w:tblGrid>
      <w:tr>
        <w:trPr/>
        <w:tc>
          <w:tcPr>
            <w:tcW w:w="440"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121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Repurchase </w:t>
              <w:br/>
              <w:t>Program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br/>
              <w:t>Authorized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br/>
              <w:t>Repurchased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br/>
              <w:t>Repurchased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Stock Price</w:t>
            </w:r>
          </w:p>
        </w:tc>
      </w:tr>
      <w:tr>
        <w:trPr/>
        <w:tc>
          <w:tcPr>
            <w:tcW w:w="121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2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January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January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8,008 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8,468 </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On February 27, 2025, the Company cancelled the remaining $121 million authorization available under the January 2024 Program and began repurchasing shares under the January 2025 Program. The January 2025 Program had $117 million of remaining authority as of August 1, 2026.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Shares repurchased under these programs are retired and cancelled upon repurchase. As a result, the Company retired the 8.468 million shares repurchased during year-to-date 2025.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Dividends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 paid the following dividends during the first and second quarters of 2026 and 2025:</w:t>
      </w:r>
    </w:p>
    <w:tbl>
      <w:tblPr>
        <w:tblW w:w="4240" w:type="dxa"/>
        <w:jc w:val="left"/>
        <w:tblInd w:w="0" w:type="dxa"/>
        <w:tblLayout w:type="fixed"/>
        <w:tblCellMar>
          <w:top w:w="28" w:type="dxa"/>
          <w:left w:w="28" w:type="dxa"/>
          <w:bottom w:w="28" w:type="dxa"/>
          <w:right w:w="28" w:type="dxa"/>
        </w:tblCellMar>
      </w:tblPr>
      <w:tblGrid>
        <w:gridCol w:w="494"/>
        <w:gridCol w:w="433"/>
        <w:gridCol w:w="437"/>
        <w:gridCol w:w="392"/>
        <w:gridCol w:w="950"/>
        <w:gridCol w:w="202"/>
        <w:gridCol w:w="109"/>
        <w:gridCol w:w="109"/>
        <w:gridCol w:w="109"/>
        <w:gridCol w:w="292"/>
        <w:gridCol w:w="500"/>
        <w:gridCol w:w="213"/>
      </w:tblGrid>
      <w:tr>
        <w:trPr/>
        <w:tc>
          <w:tcPr>
            <w:tcW w:w="494"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Ordinary Dividends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Paid</w:t>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 share)</w:t>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2026</w:t>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 Quarter</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Second Quarter</w:t>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r>
      <w:tr>
        <w:trPr/>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0.40 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2025</w:t>
            </w:r>
          </w:p>
        </w:tc>
        <w:tc>
          <w:tcPr>
            <w:tcW w:w="15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 Quarter</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Second Quarter</w:t>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r>
      <w:tr>
        <w:trPr/>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0.40 </w:t>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 August 2026, the Company declared its third quarter 2026 ordinary dividend of $0.20 per share payable on September 4, 2026 to shareholders of record at the close of business on August 21,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60"/>
        <w:jc w:val="left"/>
        <w:rPr>
          <w:rFonts w:ascii="Times New Roman;serif" w:hAnsi="Times New Roman;serif"/>
          <w:b/>
          <w:color w:val="000000"/>
          <w:sz w:val="20"/>
        </w:rPr>
      </w:pPr>
      <w:r>
        <w:rPr>
          <w:rFonts w:ascii="Times New Roman;serif" w:hAnsi="Times New Roman;serif"/>
          <w:b/>
          <w:color w:val="000000"/>
          <w:sz w:val="20"/>
        </w:rPr>
        <w:t>4. Inventories</w:t>
      </w:r>
    </w:p>
    <w:p>
      <w:pPr>
        <w:pStyle w:val="TextBody"/>
        <w:bidi w:val="0"/>
        <w:spacing w:lineRule="auto" w:line="288" w:before="60" w:after="6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details of Inventories as of August 1, 2026, January 31, 2026 and August 2, 2025:</w:t>
      </w:r>
    </w:p>
    <w:tbl>
      <w:tblPr>
        <w:tblW w:w="7087" w:type="dxa"/>
        <w:jc w:val="left"/>
        <w:tblInd w:w="0" w:type="dxa"/>
        <w:tblLayout w:type="fixed"/>
        <w:tblCellMar>
          <w:top w:w="28" w:type="dxa"/>
          <w:left w:w="28" w:type="dxa"/>
          <w:bottom w:w="28" w:type="dxa"/>
          <w:right w:w="28" w:type="dxa"/>
        </w:tblCellMar>
      </w:tblPr>
      <w:tblGrid>
        <w:gridCol w:w="1379"/>
        <w:gridCol w:w="1214"/>
        <w:gridCol w:w="1217"/>
        <w:gridCol w:w="213"/>
        <w:gridCol w:w="471"/>
        <w:gridCol w:w="110"/>
        <w:gridCol w:w="109"/>
        <w:gridCol w:w="109"/>
        <w:gridCol w:w="109"/>
        <w:gridCol w:w="266"/>
        <w:gridCol w:w="587"/>
        <w:gridCol w:w="137"/>
        <w:gridCol w:w="109"/>
        <w:gridCol w:w="109"/>
        <w:gridCol w:w="109"/>
        <w:gridCol w:w="213"/>
        <w:gridCol w:w="471"/>
        <w:gridCol w:w="155"/>
      </w:tblGrid>
      <w:tr>
        <w:trPr/>
        <w:tc>
          <w:tcPr>
            <w:tcW w:w="1379"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January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2,</w:t>
              <w:br/>
              <w:t>2025</w:t>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 Merchandise</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 and Merchandise Components</w:t>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Inventories</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Inventories are principally valued at the lower of cost or net realizable value, on an average cost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60"/>
        <w:jc w:val="left"/>
        <w:rPr>
          <w:rFonts w:ascii="Times New Roman;serif" w:hAnsi="Times New Roman;serif"/>
          <w:b/>
          <w:color w:val="000000"/>
          <w:sz w:val="20"/>
        </w:rPr>
      </w:pPr>
      <w:r>
        <w:rPr>
          <w:rFonts w:ascii="Times New Roman;serif" w:hAnsi="Times New Roman;serif"/>
          <w:b/>
          <w:color w:val="000000"/>
          <w:sz w:val="20"/>
        </w:rPr>
        <w:t>5. Long-lived Assets</w:t>
      </w:r>
    </w:p>
    <w:p>
      <w:pPr>
        <w:pStyle w:val="TextBody"/>
        <w:bidi w:val="0"/>
        <w:spacing w:lineRule="auto" w:line="288" w:before="60" w:after="6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details of Property and Equipment, Net as of August 1, 2026, January 31, 2026 and August 2, 2025:</w:t>
      </w:r>
    </w:p>
    <w:tbl>
      <w:tblPr>
        <w:tblW w:w="7326" w:type="dxa"/>
        <w:jc w:val="left"/>
        <w:tblInd w:w="0" w:type="dxa"/>
        <w:tblLayout w:type="fixed"/>
        <w:tblCellMar>
          <w:top w:w="28" w:type="dxa"/>
          <w:left w:w="28" w:type="dxa"/>
          <w:bottom w:w="28" w:type="dxa"/>
          <w:right w:w="28" w:type="dxa"/>
        </w:tblCellMar>
      </w:tblPr>
      <w:tblGrid>
        <w:gridCol w:w="1363"/>
        <w:gridCol w:w="1198"/>
        <w:gridCol w:w="1204"/>
        <w:gridCol w:w="211"/>
        <w:gridCol w:w="616"/>
        <w:gridCol w:w="109"/>
        <w:gridCol w:w="109"/>
        <w:gridCol w:w="109"/>
        <w:gridCol w:w="109"/>
        <w:gridCol w:w="223"/>
        <w:gridCol w:w="652"/>
        <w:gridCol w:w="115"/>
        <w:gridCol w:w="109"/>
        <w:gridCol w:w="109"/>
        <w:gridCol w:w="109"/>
        <w:gridCol w:w="211"/>
        <w:gridCol w:w="616"/>
        <w:gridCol w:w="154"/>
      </w:tblGrid>
      <w:tr>
        <w:trPr/>
        <w:tc>
          <w:tcPr>
            <w:tcW w:w="1363"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1,</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January 31,</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2,</w:t>
              <w:br/>
              <w:t>2025</w:t>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1"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at Cost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 and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(2,236)</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Property and Equipment,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00949a80dd2a484ebedc9e0f9998be34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Depreciation expense was $59 million and $64 million for the second quarters of 2026 and 2025, respectively, and $120 million and $128 million for year-to-date 2026 and 2025, respectively. Capital Expenditures of $37 million, $34 million and $51 million remained unpaid as of August 1, 2026, January 31, 2026 and August 2, 2025,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60"/>
        <w:jc w:val="left"/>
        <w:rPr>
          <w:rFonts w:ascii="Times New Roman;serif" w:hAnsi="Times New Roman;serif"/>
          <w:b/>
          <w:color w:val="000000"/>
          <w:sz w:val="20"/>
        </w:rPr>
      </w:pPr>
      <w:r>
        <w:rPr>
          <w:rFonts w:ascii="Times New Roman;serif" w:hAnsi="Times New Roman;serif"/>
          <w:b/>
          <w:color w:val="000000"/>
          <w:sz w:val="20"/>
        </w:rPr>
        <w:t>6. Income Taxes</w:t>
      </w:r>
    </w:p>
    <w:p>
      <w:pPr>
        <w:pStyle w:val="TextBody"/>
        <w:bidi w:val="0"/>
        <w:spacing w:lineRule="auto" w:line="288" w:before="60" w:after="60"/>
        <w:jc w:val="left"/>
        <w:rPr>
          <w:rFonts w:ascii="Times New Roman;serif" w:hAnsi="Times New Roman;serif"/>
          <w:b w:val="false"/>
          <w:color w:val="000000"/>
          <w:sz w:val="20"/>
        </w:rPr>
      </w:pPr>
      <w:r>
        <w:rPr>
          <w:rFonts w:ascii="Times New Roman;serif" w:hAnsi="Times New Roman;serif"/>
          <w:b w:val="false"/>
          <w:color w:val="000000"/>
          <w:sz w:val="20"/>
        </w:rPr>
        <w:t>The provision for income taxes is based on the current estimate of the annual effective tax rate and is adjusted as necessary for quarterly events.</w:t>
      </w:r>
    </w:p>
    <w:p>
      <w:pPr>
        <w:pStyle w:val="TextBody"/>
        <w:bidi w:val="0"/>
        <w:spacing w:lineRule="auto" w:line="288" w:before="50" w:after="50"/>
        <w:jc w:val="left"/>
        <w:rPr>
          <w:rFonts w:ascii="Times New Roman;serif" w:hAnsi="Times New Roman;serif"/>
          <w:b w:val="false"/>
          <w:color w:val="000000"/>
          <w:sz w:val="20"/>
        </w:rPr>
      </w:pPr>
      <w:r>
        <w:rPr>
          <w:rFonts w:ascii="Times New Roman;serif" w:hAnsi="Times New Roman;serif"/>
          <w:b w:val="false"/>
          <w:color w:val="000000"/>
          <w:sz w:val="20"/>
        </w:rPr>
        <w:t xml:space="preserve">For the second quarter of 2026, the Company’s effective tax rate was 28.0% compared to 32.3% in the second quarter of 2025. The 2026 second quarter rate was higher than the Company’s combined estimated federal and state statutory rates primarily due to the impact of non-U.S. operations. The 2025 second quarter rate was higher than the Company’s combined estimated federal and state statutory rates largely due to the transition of certain members of the leadership team, primarily related to severance benefits. </w:t>
      </w:r>
    </w:p>
    <w:p>
      <w:pPr>
        <w:pStyle w:val="TextBody"/>
        <w:bidi w:val="0"/>
        <w:spacing w:lineRule="auto" w:line="288" w:before="50" w:after="50"/>
        <w:jc w:val="left"/>
        <w:rPr>
          <w:rFonts w:ascii="Times New Roman;serif" w:hAnsi="Times New Roman;serif"/>
          <w:b w:val="false"/>
          <w:color w:val="000000"/>
          <w:sz w:val="20"/>
        </w:rPr>
      </w:pPr>
      <w:r>
        <w:rPr>
          <w:rFonts w:ascii="Times New Roman;serif" w:hAnsi="Times New Roman;serif"/>
          <w:b w:val="false"/>
          <w:color w:val="000000"/>
          <w:sz w:val="20"/>
        </w:rPr>
        <w:t>For year-to-date 2026, the Company’s effective tax rate was 8.8% compared to 29.9% for year-to-date 2025. The 2026 year-to-date rate was lower than the Company’s combined estimated federal and state statutory rates largely due to the resolution of certain tax matters. The 2025 year-to-date rate was higher than the Company’s combined estimated federal and state statutory rates largely due to accrued interest expense related to unrecognized tax benefits and the transition of certain members of the leadership team, primarily related to severance benefits.</w:t>
      </w:r>
    </w:p>
    <w:p>
      <w:pPr>
        <w:pStyle w:val="TextBody"/>
        <w:bidi w:val="0"/>
        <w:spacing w:lineRule="auto" w:line="288" w:before="50" w:after="50"/>
        <w:jc w:val="left"/>
        <w:rPr>
          <w:rFonts w:ascii="Times New Roman;serif" w:hAnsi="Times New Roman;serif"/>
          <w:b/>
          <w:i/>
          <w:color w:val="000000"/>
          <w:sz w:val="20"/>
        </w:rPr>
      </w:pPr>
      <w:r>
        <w:rPr>
          <w:rFonts w:ascii="Times New Roman;serif" w:hAnsi="Times New Roman;serif"/>
          <w:b/>
          <w:i/>
          <w:color w:val="000000"/>
          <w:sz w:val="20"/>
        </w:rPr>
        <w:t>Uncertain Tax Positions</w:t>
      </w:r>
    </w:p>
    <w:p>
      <w:pPr>
        <w:pStyle w:val="TextBody"/>
        <w:bidi w:val="0"/>
        <w:spacing w:lineRule="auto" w:line="288" w:before="50" w:after="50"/>
        <w:jc w:val="left"/>
        <w:rPr>
          <w:rFonts w:ascii="Times New Roman;serif" w:hAnsi="Times New Roman;serif"/>
          <w:b w:val="false"/>
          <w:color w:val="000000"/>
          <w:sz w:val="20"/>
        </w:rPr>
      </w:pPr>
      <w:r>
        <w:rPr>
          <w:rFonts w:ascii="Times New Roman;serif" w:hAnsi="Times New Roman;serif"/>
          <w:b w:val="false"/>
          <w:color w:val="000000"/>
          <w:sz w:val="20"/>
        </w:rPr>
        <w:t>The Company had unrecognized tax benefits of $131 million as of January 31, 2026, of which $75 million, if recognized, would reduce the effective income tax rate. Through August 1, 2026, the Company had a net decrease to gross unrecognized tax benefits of $85 million, primarily due to the resolution of certain tax matters. The changes to the unrecognized tax benefits resulted in a $39 million benefit in Provision for Income Taxes in the year-to-date 2026 Consolidated Statement of Income.</w:t>
      </w:r>
    </w:p>
    <w:p>
      <w:pPr>
        <w:pStyle w:val="TextBody"/>
        <w:bidi w:val="0"/>
        <w:spacing w:lineRule="auto" w:line="288" w:before="50" w:after="50"/>
        <w:jc w:val="left"/>
        <w:rPr>
          <w:rFonts w:ascii="Times New Roman;serif" w:hAnsi="Times New Roman;serif"/>
          <w:b w:val="false"/>
          <w:color w:val="000000"/>
          <w:sz w:val="20"/>
        </w:rPr>
      </w:pPr>
      <w:r>
        <w:rPr>
          <w:rFonts w:ascii="Times New Roman;serif" w:hAnsi="Times New Roman;serif"/>
          <w:b w:val="false"/>
          <w:color w:val="000000"/>
          <w:sz w:val="20"/>
        </w:rPr>
        <w:t>The Company recognizes interest and penalties related to unrecognized tax benefits as components of income tax expense. The Company had accrued $8 million and $36 million as of August 1, 2026 and January 31, 2026, respectively, for the payment of interest and penalties.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60"/>
        <w:jc w:val="left"/>
        <w:rPr>
          <w:rFonts w:ascii="Times New Roman;serif" w:hAnsi="Times New Roman;serif"/>
          <w:b/>
          <w:color w:val="000000"/>
          <w:sz w:val="20"/>
        </w:rPr>
      </w:pPr>
      <w:r>
        <w:rPr>
          <w:rFonts w:ascii="Times New Roman;serif" w:hAnsi="Times New Roman;serif"/>
          <w:b/>
          <w:color w:val="000000"/>
          <w:sz w:val="20"/>
        </w:rPr>
        <w:t>7. Long-term Debt and Borrowing Facility</w:t>
      </w:r>
    </w:p>
    <w:p>
      <w:pPr>
        <w:pStyle w:val="TextBody"/>
        <w:bidi w:val="0"/>
        <w:spacing w:lineRule="auto" w:line="288" w:before="60" w:after="6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the Company’s outstanding debt balances, net of unamortized debt issuance costs and discounts, as of August 1, 2026, January 31, 2026 and August 2, 2025:</w:t>
      </w:r>
    </w:p>
    <w:tbl>
      <w:tblPr>
        <w:tblW w:w="10205" w:type="dxa"/>
        <w:jc w:val="left"/>
        <w:tblInd w:w="0" w:type="dxa"/>
        <w:tblLayout w:type="fixed"/>
        <w:tblCellMar>
          <w:top w:w="28" w:type="dxa"/>
          <w:left w:w="28" w:type="dxa"/>
          <w:bottom w:w="28" w:type="dxa"/>
          <w:right w:w="28" w:type="dxa"/>
        </w:tblCellMar>
      </w:tblPr>
      <w:tblGrid>
        <w:gridCol w:w="2406"/>
        <w:gridCol w:w="2116"/>
        <w:gridCol w:w="2124"/>
        <w:gridCol w:w="211"/>
        <w:gridCol w:w="616"/>
        <w:gridCol w:w="109"/>
        <w:gridCol w:w="109"/>
        <w:gridCol w:w="109"/>
        <w:gridCol w:w="109"/>
        <w:gridCol w:w="222"/>
        <w:gridCol w:w="649"/>
        <w:gridCol w:w="114"/>
        <w:gridCol w:w="109"/>
        <w:gridCol w:w="109"/>
        <w:gridCol w:w="109"/>
        <w:gridCol w:w="211"/>
        <w:gridCol w:w="616"/>
        <w:gridCol w:w="157"/>
      </w:tblGrid>
      <w:tr>
        <w:trPr/>
        <w:tc>
          <w:tcPr>
            <w:tcW w:w="2406"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January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2,</w:t>
              <w:br/>
              <w:t>2025</w:t>
            </w:r>
          </w:p>
        </w:tc>
      </w:tr>
      <w:tr>
        <w:trPr/>
        <w:tc>
          <w:tcPr>
            <w:tcW w:w="6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9"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6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Senior Debt with Subsidiary Guarantee</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66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$297 million, 6.694% Fixed Interest Rate Notes due January 2027 (“2027 Notes”)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$444 million, 5.250% Fixed Interest Rate Notes due February 2028 (“2028 Notes”)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$482 million, 7.500% Fixed Interest Rate Notes due June 2029 (“2029 Notes”)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$844 million, 6.625% Fixed Interest Rate Notes due October 2030 (“2030 Notes”)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$802 million, 6.875% Fixed Interest Rate Notes due November 2035 (“2035 Notes”)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$575 million, 6.750% Fixed Interest Rate Notes due July 2036 (“2036 Notes”)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Senior Debt with Subsidiary Guarantee</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3,408 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3,405 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Senior Debt</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$284 million, 6.950% Fixed Interest Rate Debentures due March 2033 (“2033 Notes”)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$201 million, 7.600% Fixed Interest Rate Notes due July 2037 (“2037 Notes”)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Senior Debt</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Debt</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Debt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Long-term Debt, Net of Current Portion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3,612 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3,888 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40"/>
        <w:jc w:val="left"/>
        <w:rPr>
          <w:rFonts w:ascii="Times New Roman;serif" w:hAnsi="Times New Roman;serif"/>
          <w:b w:val="false"/>
          <w:color w:val="000000"/>
          <w:sz w:val="20"/>
        </w:rPr>
      </w:pPr>
      <w:r>
        <w:rPr>
          <w:rFonts w:ascii="Times New Roman;serif" w:hAnsi="Times New Roman;serif"/>
          <w:b w:val="false"/>
          <w:color w:val="000000"/>
          <w:sz w:val="20"/>
        </w:rPr>
        <w:t>Cash paid for interest was $127 million and $143 million for year-to-date 2026 and 2025, respectively.</w:t>
      </w:r>
    </w:p>
    <w:p>
      <w:pPr>
        <w:pStyle w:val="TextBody"/>
        <w:bidi w:val="0"/>
        <w:spacing w:lineRule="auto" w:line="288" w:before="100" w:after="60"/>
        <w:jc w:val="left"/>
        <w:rPr>
          <w:rFonts w:ascii="Times New Roman;serif" w:hAnsi="Times New Roman;serif"/>
          <w:b/>
          <w:i/>
          <w:color w:val="000000"/>
          <w:sz w:val="20"/>
        </w:rPr>
      </w:pPr>
      <w:r>
        <w:rPr>
          <w:rFonts w:ascii="Times New Roman;serif" w:hAnsi="Times New Roman;serif"/>
          <w:b/>
          <w:i/>
          <w:color w:val="000000"/>
          <w:sz w:val="20"/>
        </w:rPr>
        <w:t>Repurchases of Notes</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During the first quarter of 2026, the Company completed a make-whole call to repurchase the remaining $284 million principal amount of its outstanding 2027 Notes. The repurchase price for these notes was $289 million, resulting in a pre-tax loss of $8 million, net of the write-off of unamortized discounts and issuance costs. This loss is included in Other Income, Net in the year-to-date 2026 Consolidated Statement of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00949a80dd2a484ebedc9e0f9998be34_10">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On July 20, 2026, the Company issued a notice of partial redemption for $250 million aggregate principal amount of its 7.500% Senior Notes due June 2029. Subsequent to August 1, 2026, the Company completed the partial redemption for an aggregate repurchase price of $253 million and recognized a pre-tax loss of $5 million.</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The Company did not repurchase any outstanding senior notes during year-to-date 2025.</w:t>
      </w:r>
    </w:p>
    <w:p>
      <w:pPr>
        <w:pStyle w:val="TextBody"/>
        <w:bidi w:val="0"/>
        <w:spacing w:lineRule="auto" w:line="288" w:before="0" w:after="100"/>
        <w:jc w:val="left"/>
        <w:rPr>
          <w:rFonts w:ascii="Times New Roman;serif" w:hAnsi="Times New Roman;serif"/>
          <w:b/>
          <w:i/>
          <w:color w:val="000000"/>
          <w:sz w:val="20"/>
        </w:rPr>
      </w:pPr>
      <w:r>
        <w:rPr>
          <w:rFonts w:ascii="Times New Roman;serif" w:hAnsi="Times New Roman;serif"/>
          <w:b/>
          <w:i/>
          <w:color w:val="000000"/>
          <w:sz w:val="20"/>
        </w:rPr>
        <w:t>Asset-backed Revolving Credit Facility</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The Company and certain of the Company’s 100% owned subsidiaries guarantee and pledge collateral to secure an asset-backed revolving credit facility (“ABL Facility”). The ABL Facility, which allows borrowings and letters of credit in U.S. and Canadian dollars, has aggregate commitments of $750 million and an expiration date in May 2030.</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Availability under the ABL Facility is the lesser of (i) the borrowing base, determined primarily based on the Company’s eligible U.S. and Canadian credit card receivables, accounts receivable, inventory and eligible real property, or (ii) the aggregate commitment. If at any time the outstanding amount under the ABL Facility exceeds the lesser of (i) the borrowing base and (ii) the aggregate commitment, the Company is required to repay the outstanding amounts under the ABL Facility to the extent of such excess. As of August 1, 2026, the Company’s borrowing base was $632 million, and it had no borrowings outstanding under the ABL Facility.</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The ABL Facility supports the Company’s letter of credit program. The Company had $9 million of outstanding letters of credit as of August 1, 2026 that reduced its availability under the ABL Facility. As of August 1, 2026, the Company’s availability under the ABL Facility was $623 million.</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As of August 1, 2026, the ABL Facility fees related to committed and unutilized amounts were 0.30% per annum, and the fees related to outstanding letters of credit were 1.25% per annum. In addition, the interest rate on outstanding U.S. dollar borrowings was the Term Secured Overnight Financing Rate plus 1.25% per annum. The interest rate on outstanding Canadian dollar-denominated borrowings was the Canadian Overnight Repo Rate Average plus 1.25% per annum.</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The ABL Facility requires the Company to maintain a fixed charge coverage ratio of not less than 1.00 to 1.00 during an event of default or any period commencing on any day when specified excess availability is less than the greater of (i) $70 million or (ii) 10% of the maximum borrowing amount. As of August 1, 2026, the Company was not required to maintain this ratio.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60"/>
        <w:jc w:val="left"/>
        <w:rPr>
          <w:rFonts w:ascii="Times New Roman;serif" w:hAnsi="Times New Roman;serif"/>
          <w:b/>
          <w:color w:val="000000"/>
          <w:sz w:val="20"/>
        </w:rPr>
      </w:pPr>
      <w:r>
        <w:rPr>
          <w:rFonts w:ascii="Times New Roman;serif" w:hAnsi="Times New Roman;serif"/>
          <w:b/>
          <w:color w:val="000000"/>
          <w:sz w:val="20"/>
        </w:rPr>
        <w:t>8. Fair Value Measurements</w:t>
      </w:r>
    </w:p>
    <w:p>
      <w:pPr>
        <w:pStyle w:val="TextBody"/>
        <w:bidi w:val="0"/>
        <w:spacing w:lineRule="auto" w:line="288" w:before="60" w:after="60"/>
        <w:jc w:val="left"/>
        <w:rPr>
          <w:rFonts w:ascii="Times New Roman;serif" w:hAnsi="Times New Roman;serif"/>
          <w:b w:val="false"/>
          <w:color w:val="000000"/>
          <w:sz w:val="20"/>
        </w:rPr>
      </w:pPr>
      <w:r>
        <w:rPr>
          <w:rFonts w:ascii="Times New Roman;serif" w:hAnsi="Times New Roman;serif"/>
          <w:b w:val="false"/>
          <w:color w:val="000000"/>
          <w:sz w:val="20"/>
        </w:rPr>
        <w:t xml:space="preserve">Cash and Cash Equivalents include cash on hand, deposits with financial institutions and highly liquid investments with original maturities of less than 90 days. The Company’s Cash and Cash Equivalents are considered Level 1 fair value measurements as they are valued using unadjusted quoted prices in active markets for identical assets. </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summary of the principal value and estimated fair value of the Company’s outstanding debt as of August 1, 2026, January 31, 2026 and August 2, 2025:</w:t>
      </w:r>
    </w:p>
    <w:tbl>
      <w:tblPr>
        <w:tblW w:w="5675" w:type="dxa"/>
        <w:jc w:val="left"/>
        <w:tblInd w:w="0" w:type="dxa"/>
        <w:tblLayout w:type="fixed"/>
        <w:tblCellMar>
          <w:top w:w="28" w:type="dxa"/>
          <w:left w:w="28" w:type="dxa"/>
          <w:bottom w:w="28" w:type="dxa"/>
          <w:right w:w="28" w:type="dxa"/>
        </w:tblCellMar>
      </w:tblPr>
      <w:tblGrid>
        <w:gridCol w:w="766"/>
        <w:gridCol w:w="671"/>
        <w:gridCol w:w="677"/>
        <w:gridCol w:w="211"/>
        <w:gridCol w:w="616"/>
        <w:gridCol w:w="109"/>
        <w:gridCol w:w="109"/>
        <w:gridCol w:w="109"/>
        <w:gridCol w:w="109"/>
        <w:gridCol w:w="223"/>
        <w:gridCol w:w="652"/>
        <w:gridCol w:w="115"/>
        <w:gridCol w:w="109"/>
        <w:gridCol w:w="109"/>
        <w:gridCol w:w="109"/>
        <w:gridCol w:w="211"/>
        <w:gridCol w:w="616"/>
        <w:gridCol w:w="154"/>
      </w:tblGrid>
      <w:tr>
        <w:trPr/>
        <w:tc>
          <w:tcPr>
            <w:tcW w:w="76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January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2,</w:t>
              <w:br/>
              <w:t>2025</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1"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Value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Estimated (a)</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50" w:after="50"/>
        <w:jc w:val="left"/>
        <w:rPr/>
      </w:pPr>
      <w:r>
        <w:rPr>
          <w:color w:val="000000"/>
        </w:rPr>
        <w:t>  </w:t>
      </w:r>
      <w:r>
        <w:rPr>
          <w:rFonts w:ascii="Times New Roman;serif" w:hAnsi="Times New Roman;serif"/>
          <w:b w:val="false"/>
          <w:color w:val="000000"/>
          <w:sz w:val="20"/>
        </w:rPr>
        <w:t>_______________</w:t>
      </w:r>
    </w:p>
    <w:p>
      <w:pPr>
        <w:pStyle w:val="TextBody"/>
        <w:bidi w:val="0"/>
        <w:spacing w:lineRule="auto" w:line="288" w:before="50" w:after="50"/>
        <w:ind w:left="0" w:right="0" w:hanging="720"/>
        <w:jc w:val="left"/>
        <w:rPr/>
      </w:pPr>
      <w:r>
        <w:rPr>
          <w:rFonts w:ascii="Times New Roman;serif" w:hAnsi="Times New Roman;serif"/>
          <w:b w:val="false"/>
          <w:color w:val="000000"/>
          <w:sz w:val="20"/>
        </w:rPr>
        <w:t xml:space="preserve">(a)The estimated fair value of the Company’s debt is based on reported transaction prices, which are considered Level 2 inputs in accordance with Accounting Standards Codification 820, </w:t>
      </w:r>
      <w:r>
        <w:rPr>
          <w:rFonts w:ascii="Times New Roman;serif" w:hAnsi="Times New Roman;serif"/>
          <w:b w:val="false"/>
          <w:i/>
          <w:color w:val="000000"/>
          <w:sz w:val="20"/>
        </w:rPr>
        <w:t>Fair Value Measurement</w:t>
      </w:r>
      <w:r>
        <w:rPr>
          <w:rFonts w:ascii="Times New Roman;serif" w:hAnsi="Times New Roman;serif"/>
          <w:b w:val="false"/>
          <w:color w:val="000000"/>
          <w:sz w:val="20"/>
        </w:rPr>
        <w:t>. The estimates presented are not necessarily indicative of the amounts that the Company could realize in a current market exchange.</w:t>
      </w:r>
    </w:p>
    <w:p>
      <w:pPr>
        <w:pStyle w:val="TextBody"/>
        <w:bidi w:val="0"/>
        <w:spacing w:lineRule="auto" w:line="288" w:before="60" w:after="60"/>
        <w:jc w:val="left"/>
        <w:rPr>
          <w:rFonts w:ascii="Times New Roman;serif" w:hAnsi="Times New Roman;serif"/>
          <w:b w:val="false"/>
          <w:color w:val="000000"/>
          <w:sz w:val="20"/>
        </w:rPr>
      </w:pPr>
      <w:r>
        <w:rPr>
          <w:rFonts w:ascii="Times New Roman;serif" w:hAnsi="Times New Roman;serif"/>
          <w:b w:val="false"/>
          <w:color w:val="000000"/>
          <w:sz w:val="20"/>
        </w:rPr>
        <w:t>Management believes that the carrying values of the Company’s Accounts Receivable, Accounts Payable and Accrued Expenses approximate their fair values as of August 1, 2026 because of their short maturities.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60"/>
        <w:jc w:val="left"/>
        <w:rPr>
          <w:rFonts w:ascii="Times New Roman;serif" w:hAnsi="Times New Roman;serif"/>
          <w:b/>
          <w:color w:val="000000"/>
          <w:sz w:val="20"/>
        </w:rPr>
      </w:pPr>
      <w:r>
        <w:rPr>
          <w:rFonts w:ascii="Times New Roman;serif" w:hAnsi="Times New Roman;serif"/>
          <w:b/>
          <w:color w:val="000000"/>
          <w:sz w:val="20"/>
        </w:rPr>
        <w:t>9. Commitments and Contingencies</w:t>
      </w:r>
    </w:p>
    <w:p>
      <w:pPr>
        <w:pStyle w:val="TextBody"/>
        <w:bidi w:val="0"/>
        <w:spacing w:lineRule="auto" w:line="288" w:before="60" w:after="60"/>
        <w:jc w:val="left"/>
        <w:rPr>
          <w:rFonts w:ascii="Times New Roman;serif" w:hAnsi="Times New Roman;serif"/>
          <w:b w:val="false"/>
          <w:color w:val="000000"/>
          <w:sz w:val="20"/>
        </w:rPr>
      </w:pPr>
      <w:r>
        <w:rPr>
          <w:rFonts w:ascii="Times New Roman;serif" w:hAnsi="Times New Roman;serif"/>
          <w:b w:val="false"/>
          <w:color w:val="000000"/>
          <w:sz w:val="20"/>
        </w:rPr>
        <w:t>The Company is subject to various claims and contingencies related to lawsuits, taxes, insurance, regulatory and other matters arising in the ordinary course of business. Actions filed against the Company from time to time may include commercial, tort, intellectual property, tax, customer, employment, wage and hour, data privacy, securities, anti-corruption and other claims, including putative class action lawsuits. Management believes that the ultimate liability arising from such claims and contingencies, if any, is not likely to have a material adverse effect on the Company’s results of operations, financial condition or cash flows.</w:t>
      </w:r>
    </w:p>
    <w:p>
      <w:pPr>
        <w:pStyle w:val="TextBody"/>
        <w:bidi w:val="0"/>
        <w:spacing w:lineRule="auto" w:line="288" w:before="60" w:after="60"/>
        <w:jc w:val="left"/>
        <w:rPr>
          <w:rFonts w:ascii="Times New Roman;serif" w:hAnsi="Times New Roman;serif"/>
          <w:b/>
          <w:i/>
          <w:color w:val="000000"/>
          <w:sz w:val="20"/>
        </w:rPr>
      </w:pPr>
      <w:r>
        <w:rPr>
          <w:rFonts w:ascii="Times New Roman;serif" w:hAnsi="Times New Roman;serif"/>
          <w:b/>
          <w:i/>
          <w:color w:val="000000"/>
          <w:sz w:val="20"/>
        </w:rPr>
        <w:t>Lease Guarantees</w:t>
      </w:r>
    </w:p>
    <w:p>
      <w:pPr>
        <w:pStyle w:val="TextBody"/>
        <w:bidi w:val="0"/>
        <w:spacing w:lineRule="auto" w:line="288" w:before="60" w:after="6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spin-off of Victoria’s Secret &amp; Co., the Company had remaining contingent obligations of $205 million as of August 1, 2026 related to lease payments under the current terms of noncancelable leases, primarily related to office space, expiring at various dates through 2037. These obligations include minimum rent and additional payments covering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00949a80dd2a484ebedc9e0f9998be34_10">
        <w:r>
          <w:rPr>
            <w:rStyle w:val="InternetLink"/>
            <w:rFonts w:ascii="Times New Roman;serif" w:hAnsi="Times New Roman;serif"/>
            <w:b w:val="false"/>
            <w:color w:val="0000FF"/>
            <w:sz w:val="16"/>
            <w:u w:val="single"/>
          </w:rPr>
          <w:t>Table of Contents</w:t>
        </w:r>
      </w:hyperlink>
    </w:p>
    <w:p>
      <w:pPr>
        <w:pStyle w:val="TextBody"/>
        <w:bidi w:val="0"/>
        <w:spacing w:lineRule="auto" w:line="288" w:before="60" w:after="60"/>
        <w:jc w:val="left"/>
        <w:rPr>
          <w:rFonts w:ascii="Times New Roman;serif" w:hAnsi="Times New Roman;serif"/>
          <w:b w:val="false"/>
          <w:color w:val="000000"/>
          <w:sz w:val="20"/>
        </w:rPr>
      </w:pPr>
      <w:r>
        <w:rPr>
          <w:rFonts w:ascii="Times New Roman;serif" w:hAnsi="Times New Roman;serif"/>
          <w:b w:val="false"/>
          <w:color w:val="000000"/>
          <w:sz w:val="20"/>
        </w:rPr>
        <w:t>taxes, common area costs and certain other expenses and relate to leases that commenced prior to the spin-off. The Company’s reserves related to these obligations were not significant for any period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60"/>
        <w:jc w:val="left"/>
        <w:rPr>
          <w:rFonts w:ascii="Times New Roman;serif" w:hAnsi="Times New Roman;serif"/>
          <w:b/>
          <w:color w:val="000000"/>
          <w:sz w:val="20"/>
        </w:rPr>
      </w:pPr>
      <w:r>
        <w:rPr>
          <w:rFonts w:ascii="Times New Roman;serif" w:hAnsi="Times New Roman;serif"/>
          <w:b/>
          <w:color w:val="000000"/>
          <w:sz w:val="20"/>
        </w:rPr>
        <w:t xml:space="preserve">10. Segment Reporting </w:t>
      </w:r>
    </w:p>
    <w:p>
      <w:pPr>
        <w:pStyle w:val="TextBody"/>
        <w:bidi w:val="0"/>
        <w:spacing w:lineRule="auto" w:line="288" w:before="60" w:after="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is managed at the consolidated level and therefore operates and reports as a single segment. The Company’s Chief Executive Officer is its Chief Operating Decision Maker (“CODM”), and the measure of profitability included in the financial information regularly provided to the CODM is total Company Adjusted Operating Income, or Operating Income in periods where there are no adjustments. The Company’s CODM assesses Adjusted Operating Income performance in comparison to forecasts and historical results to make decisions on the reinvestment of profits into the business and capital allocation strategies. </w:t>
      </w:r>
    </w:p>
    <w:p>
      <w:pPr>
        <w:pStyle w:val="TextBody"/>
        <w:bidi w:val="0"/>
        <w:spacing w:lineRule="auto" w:line="288" w:before="60" w:after="60"/>
        <w:jc w:val="left"/>
        <w:rPr>
          <w:rFonts w:ascii="Times New Roman;serif" w:hAnsi="Times New Roman;serif"/>
          <w:b w:val="false"/>
          <w:color w:val="000000"/>
          <w:sz w:val="20"/>
        </w:rPr>
      </w:pPr>
      <w:r>
        <w:rPr>
          <w:rFonts w:ascii="Times New Roman;serif" w:hAnsi="Times New Roman;serif"/>
          <w:b w:val="false"/>
          <w:color w:val="000000"/>
          <w:sz w:val="20"/>
        </w:rPr>
        <w:t>The following table illustrates significant segment expenses that were regularly provided to the CODM for the second quarters of and year-to-date 2026 and 2025:</w:t>
      </w:r>
    </w:p>
    <w:tbl>
      <w:tblPr>
        <w:tblW w:w="8715" w:type="dxa"/>
        <w:jc w:val="left"/>
        <w:tblInd w:w="0" w:type="dxa"/>
        <w:tblLayout w:type="fixed"/>
        <w:tblCellMar>
          <w:top w:w="28" w:type="dxa"/>
          <w:left w:w="28" w:type="dxa"/>
          <w:bottom w:w="28" w:type="dxa"/>
          <w:right w:w="28" w:type="dxa"/>
        </w:tblCellMar>
      </w:tblPr>
      <w:tblGrid>
        <w:gridCol w:w="1430"/>
        <w:gridCol w:w="1253"/>
        <w:gridCol w:w="1262"/>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430"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Second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Year-to-Date</w:t>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Cost of Goods Sold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Buying and Occupancy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Adjusted Selling Expenses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Adjusted Marketing Expenses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General and Administrative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Operating Income</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Interchange Fee Settlements (a)</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Transformation Activities (b)</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Leadership Transition Costs (c)</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Reported Operating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jc w:val="left"/>
        <w:rPr>
          <w:color w:val="000000"/>
        </w:rPr>
      </w:pPr>
      <w:r>
        <w:rPr>
          <w:color w:val="000000"/>
        </w:rPr>
        <w:t> </w:t>
      </w:r>
      <w:r>
        <w:rPr>
          <w:rFonts w:ascii="Times New Roman;serif" w:hAnsi="Times New Roman;serif"/>
          <w:b w:val="false"/>
          <w:color w:val="000000"/>
          <w:sz w:val="20"/>
        </w:rPr>
        <w:t>________________</w:t>
      </w:r>
    </w:p>
    <w:p>
      <w:pPr>
        <w:pStyle w:val="TextBody"/>
        <w:bidi w:val="0"/>
        <w:spacing w:lineRule="auto" w:line="288" w:before="60" w:after="6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(a)In year-to-date 2026, the Company received $88 million, net of legal fees, related to favorable settlements of payment card interchange fee litigation. The gain was recognized as a reduction to Selling Expenses and was excluded from the Adjusted Operating Income details provided to the CODM. </w:t>
      </w:r>
    </w:p>
    <w:p>
      <w:pPr>
        <w:pStyle w:val="TextBody"/>
        <w:bidi w:val="0"/>
        <w:spacing w:lineRule="auto" w:line="288" w:before="60" w:after="6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(b)In the second quarter of 2026, the Company recognized aggregate pre-tax costs of $9 million, resulting from business transformation activities in connection with the Consumer First Formula, of which $5 million and $4 million were excluded from Marketing Expenses and General and Administrative Expenses, respectively, in the Adjusted Operating Income details provided to the CODM. During year-to-date 2026, the Company recognized aggregate pre-tax costs of $17 million, resulting from business transformation activities in connection with the Consumer First Formula, of which $1 million, $7 million and $9 million, were excluded from the Cost of Goods Sold, Marketing Expenses and General and Administrative Expenses, respectively, in the Adjusted Operating Income details provided to the CODM.</w:t>
      </w:r>
    </w:p>
    <w:p>
      <w:pPr>
        <w:pStyle w:val="TextBody"/>
        <w:bidi w:val="0"/>
        <w:spacing w:lineRule="auto" w:line="288" w:before="60" w:after="6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(c)In the second quarter of and year-to-date 2025, the Company recognized pre-tax costs of $15 million due to the transition of certain members of the leadership team, primarily related to severance benefits, which were excluded from General and Administrative Expenses in the Adjusted Operating Income details provided to the CODM.</w:t>
      </w:r>
    </w:p>
    <w:p>
      <w:pPr>
        <w:pStyle w:val="TextBody"/>
        <w:bidi w:val="0"/>
        <w:spacing w:lineRule="auto" w:line="288" w:before="60" w:after="60"/>
        <w:jc w:val="left"/>
        <w:rPr/>
      </w:pPr>
      <w:r>
        <w:rPr>
          <w:rFonts w:ascii="Times New Roman;serif" w:hAnsi="Times New Roman;serif"/>
          <w:b w:val="false"/>
          <w:color w:val="000000"/>
          <w:sz w:val="20"/>
        </w:rPr>
        <w:t xml:space="preserve">As a single reportable segment entity, the other disclosures required by ASC 280, </w:t>
      </w:r>
      <w:r>
        <w:rPr>
          <w:rFonts w:ascii="Times New Roman;serif" w:hAnsi="Times New Roman;serif"/>
          <w:b w:val="false"/>
          <w:i/>
          <w:color w:val="000000"/>
          <w:sz w:val="20"/>
        </w:rPr>
        <w:t xml:space="preserve">Segment Reporting, </w:t>
      </w:r>
      <w:r>
        <w:rPr>
          <w:rFonts w:ascii="Times New Roman;serif" w:hAnsi="Times New Roman;serif"/>
          <w:b w:val="false"/>
          <w:color w:val="000000"/>
          <w:sz w:val="20"/>
        </w:rPr>
        <w:t>can be found in the Company’s Consolidated Financial Statements and the Notes thereto, including the Company’s measure of segment assets, which is total consolidated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00949a80dd2a484ebedc9e0f9998be34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SAFE HARBOR STATEMENT UNDER THE PRIVATE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LITIGATION ACT OF 1995</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 xml:space="preserve">We caution that any forward-looking statements (as such term is defined in the Private Securities Litigation Reform Act of 1995) contained in this report or made by our Company or our management involve risks and uncertainties and are subject to change based on various factors, many of which are beyond our control. Accordingly, our future performance and financial results may differ materially from those expressed or implied in any such forward-looking statements. Words such as “estimate,” “project,” “plan,” “believe,” “expect,” “anticipate,” “intend,” “potential,” “target,” “goal” and any similar expressions may identify forward-looking statements. There are risks, uncertainties and other factors that in some cases have affected and, in the future, could affect our financial performance and actual results and could cause actual results to differ materially from those expressed or implied in any forward-looking statements included in this report or otherwise made by the Company or our management. These factors can be found in Item 1A. Risk Factors in our 2025 Annual Report on Form 10-K, and our subsequent filings. </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We are not under any obligation and do not intend to make publicly available any update or other revisions to any of the forward-looking statements contained in this report to reflect circumstances existing after the date of this report or to reflect the occurrence of future events even if experience or future events make it clear that any expected results expressed or implied by those forward-looking statements will not be realized.</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We announce material financial and operational information using our investor relations website, press releases, SEC filings and public conference calls and webcasts. Information about the Company, our business and our results of operations may also be announced by posts on our accounts on social media channels, including the following: Facebook, Instagram, X, LinkedIn, Pinterest, TikTok and YouTube. The information contained on, or that can be accessed through, our social media channels and our website is deemed not to be incorporated in this Quarterly Report on Form 10-Q or to be a part of this Quarterly Report on Form 10-Q. The information that we post through these social media channels and on our website may be deemed material. As a result, we encourage investors, the media and others interested in the Company to monitor these social media channels in addition to following our investor relations website, press releases, SEC filings and public conference calls and webcasts. The list of social media channels we use may be updated from time to time on our investor relations website.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60"/>
        <w:jc w:val="left"/>
        <w:rPr>
          <w:rFonts w:ascii="Times New Roman;serif" w:hAnsi="Times New Roman;serif"/>
          <w:b/>
          <w:color w:val="000000"/>
          <w:sz w:val="20"/>
        </w:rPr>
      </w:pPr>
      <w:r>
        <w:rPr>
          <w:rFonts w:ascii="Times New Roman;serif" w:hAnsi="Times New Roman;serif"/>
          <w:b/>
          <w:color w:val="000000"/>
          <w:sz w:val="20"/>
        </w:rPr>
        <w:t xml:space="preserve">Item 2. MANAGEMENT’S DISCUSSION AND ANALYSIS OF FINANCIAL CONDITION AND RESULTS OF OPERATIONS </w:t>
      </w:r>
    </w:p>
    <w:p>
      <w:pPr>
        <w:pStyle w:val="TextBody"/>
        <w:bidi w:val="0"/>
        <w:spacing w:lineRule="auto" w:line="268" w:before="60" w:after="60"/>
        <w:jc w:val="left"/>
        <w:rPr>
          <w:rFonts w:ascii="Times New Roman;serif" w:hAnsi="Times New Roman;serif"/>
          <w:b w:val="false"/>
          <w:color w:val="000000"/>
          <w:sz w:val="20"/>
        </w:rPr>
      </w:pPr>
      <w:r>
        <w:rPr>
          <w:rFonts w:ascii="Times New Roman;serif" w:hAnsi="Times New Roman;serif"/>
          <w:b w:val="false"/>
          <w:color w:val="000000"/>
          <w:sz w:val="20"/>
        </w:rPr>
        <w:t>The following discussion and analysis of financial condition and results of operations is based upon our Consolidated Financial Statements, which have been prepared in accordance with accounting principles generally accepted in the United States of America (“GAAP”) as codified in the Accounting Standards Codification. The following information should be read in conjunction with our financial statements and the related notes included in Part I, Item 1. Financial Statements in this Quarterly Report on Form 10-Q.</w:t>
      </w:r>
    </w:p>
    <w:p>
      <w:pPr>
        <w:pStyle w:val="TextBody"/>
        <w:bidi w:val="0"/>
        <w:spacing w:lineRule="auto" w:line="288" w:before="60" w:after="60"/>
        <w:jc w:val="left"/>
        <w:rPr>
          <w:rFonts w:ascii="Times New Roman;serif" w:hAnsi="Times New Roman;serif"/>
          <w:b/>
          <w:color w:val="000000"/>
          <w:sz w:val="20"/>
        </w:rPr>
      </w:pPr>
      <w:r>
        <w:rPr>
          <w:rFonts w:ascii="Times New Roman;serif" w:hAnsi="Times New Roman;serif"/>
          <w:b/>
          <w:color w:val="000000"/>
          <w:sz w:val="20"/>
        </w:rPr>
        <w:t xml:space="preserve">Executive Overview </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In the second quarter of 2026, total Net Sales were $1,514 million, which decreased $35 million, or 2.3%, compared to the second quarter of 2025. Total North American Net Sales decreased $57 million, primarily due to decrease in transactions and average dollar sales, while International and Other Net Sales increased $22 million. Our second quarter Operating Income was $216 million, which increased $59 million, or 37.0%, compared to the second quarter of 2025, and our Operating Income rate (expressed as a percentage of Net Sales) increased to 14.2% from 10.2%. The Operating Income results were primarily due to the increase in the merchandise margin rate, as a result of approximately $80 million of International Emergency Economic Powers Act (“IEEPA”) tariff refunds, partially offset by the decline in Net Sales.</w:t>
      </w:r>
    </w:p>
    <w:p>
      <w:pPr>
        <w:pStyle w:val="TextBody"/>
        <w:bidi w:val="0"/>
        <w:spacing w:lineRule="auto" w:line="268" w:before="60" w:after="60"/>
        <w:jc w:val="left"/>
        <w:rPr>
          <w:rFonts w:ascii="Times New Roman;serif" w:hAnsi="Times New Roman;serif"/>
          <w:b w:val="false"/>
          <w:color w:val="000000"/>
          <w:sz w:val="20"/>
        </w:rPr>
      </w:pPr>
      <w:r>
        <w:rPr>
          <w:rFonts w:ascii="Times New Roman;serif" w:hAnsi="Times New Roman;serif"/>
          <w:b w:val="false"/>
          <w:color w:val="000000"/>
          <w:sz w:val="20"/>
        </w:rPr>
        <w:t xml:space="preserve">For additional information related to our second quarter 2026 financial performance, see “Results of Operations.” </w:t>
      </w:r>
    </w:p>
    <w:p>
      <w:pPr>
        <w:pStyle w:val="TextBody"/>
        <w:bidi w:val="0"/>
        <w:spacing w:lineRule="auto" w:line="268" w:before="60" w:after="60"/>
        <w:jc w:val="left"/>
        <w:rPr>
          <w:rFonts w:ascii="Times New Roman;serif" w:hAnsi="Times New Roman;serif"/>
          <w:b/>
          <w:i/>
          <w:color w:val="000000"/>
          <w:sz w:val="20"/>
        </w:rPr>
      </w:pPr>
      <w:r>
        <w:rPr>
          <w:rFonts w:ascii="Times New Roman;serif" w:hAnsi="Times New Roman;serif"/>
          <w:b/>
          <w:i/>
          <w:color w:val="000000"/>
          <w:sz w:val="20"/>
        </w:rPr>
        <w:t>Consumer First Formula</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 2025, we launched the Consumer First Formula, our multi-year, comprehensive transformation plan to revitalize Bath &amp; Body Works across brand, product and marketplace. The Consumer First Formula invests behind our largest revenue driving opportunities to try to attract new, younger consumers to the brand, which we expect will help us unlock our next era of sustainable growth. During the second quarter of 2026, we delivered progress across innovation, brand building, digital and expanded distribution including sequential improvement in Body Care, a return to growth in Direct and continued momentum across our marketplace partnerships. While we are still in the early stages of our transformation, these proof points indicate that the Consumer First Formula is gaining traction. We remain focused on disciplined execution and investing in the capabilities necessary to support sustainable, durable growth over the long term.</w:t>
      </w:r>
    </w:p>
    <w:p>
      <w:pPr>
        <w:pStyle w:val="TextBody"/>
        <w:bidi w:val="0"/>
        <w:spacing w:lineRule="auto" w:line="268" w:before="60" w:after="60"/>
        <w:jc w:val="left"/>
        <w:rPr>
          <w:rFonts w:ascii="Times New Roman;serif" w:hAnsi="Times New Roman;serif"/>
          <w:b/>
          <w:i/>
          <w:color w:val="000000"/>
          <w:sz w:val="20"/>
        </w:rPr>
      </w:pPr>
      <w:r>
        <w:rPr>
          <w:rFonts w:ascii="Times New Roman;serif" w:hAnsi="Times New Roman;serif"/>
          <w:b/>
          <w:i/>
          <w:color w:val="000000"/>
          <w:sz w:val="20"/>
        </w:rPr>
        <w:t>Outlook</w:t>
      </w:r>
    </w:p>
    <w:p>
      <w:pPr>
        <w:pStyle w:val="TextBody"/>
        <w:bidi w:val="0"/>
        <w:spacing w:lineRule="auto" w:line="268" w:before="60" w:after="60"/>
        <w:jc w:val="left"/>
        <w:rPr>
          <w:rFonts w:ascii="Times New Roman;serif" w:hAnsi="Times New Roman;serif"/>
          <w:b w:val="false"/>
          <w:i/>
          <w:color w:val="000000"/>
          <w:sz w:val="20"/>
        </w:rPr>
      </w:pPr>
      <w:r>
        <w:rPr>
          <w:rFonts w:ascii="Times New Roman;serif" w:hAnsi="Times New Roman;serif"/>
          <w:b w:val="false"/>
          <w:i/>
          <w:color w:val="000000"/>
          <w:sz w:val="20"/>
        </w:rPr>
        <w:t>Macroeconomic Factors</w:t>
      </w:r>
    </w:p>
    <w:p>
      <w:pPr>
        <w:pStyle w:val="TextBody"/>
        <w:bidi w:val="0"/>
        <w:spacing w:lineRule="auto" w:line="268" w:before="60" w:after="60"/>
        <w:jc w:val="left"/>
        <w:rPr>
          <w:rFonts w:ascii="Times New Roman;serif" w:hAnsi="Times New Roman;serif"/>
          <w:b w:val="false"/>
          <w:color w:val="000000"/>
          <w:sz w:val="20"/>
        </w:rPr>
      </w:pPr>
      <w:r>
        <w:rPr>
          <w:rFonts w:ascii="Times New Roman;serif" w:hAnsi="Times New Roman;serif"/>
          <w:b w:val="false"/>
          <w:color w:val="000000"/>
          <w:sz w:val="20"/>
        </w:rPr>
        <w:t>The conflict between the U.S. and Iran continues to impact much of the Middle East region, including transportation restrictions, which has resulted in volatility in global energy markets, commodities pricing, transportation costs and foreign currency exchange rates. These recent events have increased global economic uncertainty and may affect consumer demand in certain markets and contribute to higher global inflation and input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00949a80dd2a484ebedc9e0f9998be34_10">
        <w:r>
          <w:rPr>
            <w:rStyle w:val="InternetLink"/>
            <w:rFonts w:ascii="Times New Roman;serif" w:hAnsi="Times New Roman;serif"/>
            <w:b w:val="false"/>
            <w:color w:val="0000FF"/>
            <w:sz w:val="16"/>
            <w:u w:val="single"/>
          </w:rPr>
          <w:t>Table of Contents</w:t>
        </w:r>
      </w:hyperlink>
    </w:p>
    <w:p>
      <w:pPr>
        <w:pStyle w:val="TextBody"/>
        <w:bidi w:val="0"/>
        <w:spacing w:lineRule="auto" w:line="268" w:before="60" w:after="60"/>
        <w:jc w:val="left"/>
        <w:rPr>
          <w:rFonts w:ascii="Times New Roman;serif" w:hAnsi="Times New Roman;serif"/>
          <w:b/>
          <w:color w:val="000000"/>
          <w:sz w:val="20"/>
        </w:rPr>
      </w:pPr>
      <w:r>
        <w:rPr>
          <w:rFonts w:ascii="Times New Roman;serif" w:hAnsi="Times New Roman;serif"/>
          <w:b/>
          <w:color w:val="000000"/>
          <w:sz w:val="20"/>
        </w:rPr>
        <w:t>Adjusted Financial Information</w:t>
      </w:r>
    </w:p>
    <w:p>
      <w:pPr>
        <w:pStyle w:val="TextBody"/>
        <w:bidi w:val="0"/>
        <w:spacing w:lineRule="auto" w:line="288" w:before="60" w:after="6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our results provided in accordance with GAAP above and throughout this Quarterly Report on Form 10-Q, provided below are non-GAAP measures that present Operating Income, Net Income and Net Income per Diluted Share for the second quarters of and year-to-date 2026 and 2025 on an adjusted basis, which removes certain items. We believe that these items are not indicative of our operations due to their size and nature. </w:t>
      </w:r>
    </w:p>
    <w:p>
      <w:pPr>
        <w:pStyle w:val="TextBody"/>
        <w:bidi w:val="0"/>
        <w:spacing w:lineRule="auto" w:line="288" w:before="60" w:after="60"/>
        <w:jc w:val="left"/>
        <w:rPr>
          <w:rFonts w:ascii="Times New Roman;serif" w:hAnsi="Times New Roman;serif"/>
          <w:b w:val="false"/>
          <w:color w:val="000000"/>
          <w:sz w:val="20"/>
        </w:rPr>
      </w:pPr>
      <w:r>
        <w:rPr>
          <w:rFonts w:ascii="Times New Roman;serif" w:hAnsi="Times New Roman;serif"/>
          <w:b w:val="false"/>
          <w:color w:val="000000"/>
          <w:sz w:val="20"/>
        </w:rPr>
        <w:t>We use adjusted financial information as key performance measures for the purpose of evaluating performance internally. These non-GAAP measures are not intended to replace the presentation of our financial results in accordance with GAAP. Instead, we believe that the presentation of adjusted financial information provides additional information to investors to facilitate the comparison of past and present operations. Further, our definitions of adjusted financial information may differ from similarly titled measures used by other companies. The table below reconciles our GAAP financial measures to our non-GAAP financial measures:</w:t>
      </w:r>
    </w:p>
    <w:tbl>
      <w:tblPr>
        <w:tblW w:w="10205" w:type="dxa"/>
        <w:jc w:val="left"/>
        <w:tblInd w:w="0" w:type="dxa"/>
        <w:tblLayout w:type="fixed"/>
        <w:tblCellMar>
          <w:top w:w="28" w:type="dxa"/>
          <w:left w:w="28" w:type="dxa"/>
          <w:bottom w:w="28" w:type="dxa"/>
          <w:right w:w="28" w:type="dxa"/>
        </w:tblCellMar>
      </w:tblPr>
      <w:tblGrid>
        <w:gridCol w:w="1777"/>
        <w:gridCol w:w="1547"/>
        <w:gridCol w:w="1559"/>
        <w:gridCol w:w="232"/>
        <w:gridCol w:w="562"/>
        <w:gridCol w:w="119"/>
        <w:gridCol w:w="119"/>
        <w:gridCol w:w="119"/>
        <w:gridCol w:w="119"/>
        <w:gridCol w:w="232"/>
        <w:gridCol w:w="562"/>
        <w:gridCol w:w="119"/>
        <w:gridCol w:w="119"/>
        <w:gridCol w:w="119"/>
        <w:gridCol w:w="119"/>
        <w:gridCol w:w="232"/>
        <w:gridCol w:w="562"/>
        <w:gridCol w:w="119"/>
        <w:gridCol w:w="109"/>
        <w:gridCol w:w="109"/>
        <w:gridCol w:w="109"/>
        <w:gridCol w:w="211"/>
        <w:gridCol w:w="511"/>
        <w:gridCol w:w="109"/>
        <w:gridCol w:w="109"/>
        <w:gridCol w:w="109"/>
        <w:gridCol w:w="109"/>
        <w:gridCol w:w="109"/>
        <w:gridCol w:w="109"/>
        <w:gridCol w:w="166"/>
      </w:tblGrid>
      <w:tr>
        <w:trPr/>
        <w:tc>
          <w:tcPr>
            <w:tcW w:w="1777"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8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 millions, except per share amounts)</w:t>
            </w:r>
          </w:p>
        </w:tc>
        <w:tc>
          <w:tcPr>
            <w:tcW w:w="21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Second Quarter</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Year-to-Date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336"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Reconciliation of Reported Operating Income to Adjusted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Reported Operating Income</w:t>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Interchange Fee Settlements (a)</w:t>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Transformation Activities (b)</w:t>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Leadership Transition Costs (c)</w:t>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Operating Income</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336"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Reconciliation of Reported Net Income to Adjusted 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Reported Net Income</w:t>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Interchange Fee Settlements (a)</w:t>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Transformation Activities (b)</w:t>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Leadership Transition Costs (c)</w:t>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 (d)</w:t>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Non-core Asset (e)</w:t>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Effect of Adjustments</w:t>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Benefit from Resolution of Certain Tax matters (f)</w:t>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Net Income</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336"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Reconciliation of Reported Net Income per Diluted Share to Adjusted Net Income per Diluted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Reported Net Income per Diluted Share</w:t>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Interchange Fee Settlements (a)</w:t>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(0.43)</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Transformation Activities (b)</w:t>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Leadership Transition Costs (c)</w:t>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 (d)</w:t>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Non-core Asset (e)</w:t>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Effect of Adjustments</w:t>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Benefit from Resolution of Certain Tax matters (f)</w:t>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(0.31)</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Net Income per Diluted Share</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0.62 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0.37 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0.94 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jc w:val="left"/>
        <w:rPr>
          <w:color w:val="000000"/>
        </w:rPr>
      </w:pPr>
      <w:r>
        <w:rPr>
          <w:color w:val="000000"/>
        </w:rPr>
        <w:t> </w:t>
      </w:r>
      <w:r>
        <w:rPr>
          <w:rFonts w:ascii="Times New Roman;serif" w:hAnsi="Times New Roman;serif"/>
          <w:b w:val="false"/>
          <w:color w:val="000000"/>
          <w:sz w:val="20"/>
        </w:rPr>
        <w:t>________________</w:t>
      </w:r>
    </w:p>
    <w:p>
      <w:pPr>
        <w:pStyle w:val="TextBody"/>
        <w:bidi w:val="0"/>
        <w:spacing w:lineRule="auto" w:line="288" w:before="0" w:after="6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(a)In the first quarter of 2026, we recognized an $88 million pre-tax gain ($66 million after tax) as a reduction to General, Administrative and Store Operating Expenses, related to cash proceeds received, net of legal fees, for favorable settlements of payment card interchange fee litigation.</w:t>
      </w:r>
    </w:p>
    <w:p>
      <w:pPr>
        <w:pStyle w:val="TextBody"/>
        <w:bidi w:val="0"/>
        <w:spacing w:lineRule="auto" w:line="288" w:before="0" w:after="6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(b)In the second quarter of 2026, we recognized aggregate pre-tax costs of $9 million ($7 million after tax) and during year-to-date 2026, we recognized aggregate pre-tax costs of $17 million ($13 million after tax), primarily included in General, Administrative and Store Operating Expenses, resulting from business transformation activities in connection with the Consumer First Formula.</w:t>
      </w:r>
    </w:p>
    <w:p>
      <w:pPr>
        <w:pStyle w:val="TextBody"/>
        <w:bidi w:val="0"/>
        <w:spacing w:lineRule="auto" w:line="288" w:before="0" w:after="6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(c)In the second quarter of 2025, we recognized pre-tax costs of $15 million ($14 million after tax) due to the transition of certain members of the leadership team, primarily related to severance benefits.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00949a80dd2a484ebedc9e0f9998be34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6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(d)In the first quarter of 2026, we recognized an $8 million pre-tax loss ($6 million after tax) in Other Income, Net, related to the repurchase and early extinguishment of outstanding debt. For additional information, see Note 7, “Long-term Debt and Borrowing Facility” included in Part 1, Item 1. Financial Statements.</w:t>
      </w:r>
    </w:p>
    <w:p>
      <w:pPr>
        <w:pStyle w:val="TextBody"/>
        <w:bidi w:val="0"/>
        <w:spacing w:lineRule="auto" w:line="288" w:before="0" w:after="6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(e)In the first quarter of 2026, we recognized a $3 million pre-tax gain ($3 million after tax) in Other Income, Net, related to the sale of a non-core asset.</w:t>
      </w:r>
    </w:p>
    <w:p>
      <w:pPr>
        <w:pStyle w:val="TextBody"/>
        <w:bidi w:val="0"/>
        <w:spacing w:lineRule="auto" w:line="288" w:before="0" w:after="6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(f)In the first quarter of 2026, we recognized a $62 million tax benefit associated with the resolution of certain tax matters. For additional information, see Note 6, “Income Taxes” included in Part 1, 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Company-operated Stores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compares Company-operated store data for the second quarters of and year-to-date 2026 and 2025:</w:t>
      </w:r>
    </w:p>
    <w:tbl>
      <w:tblPr>
        <w:tblW w:w="10205" w:type="dxa"/>
        <w:jc w:val="left"/>
        <w:tblInd w:w="0" w:type="dxa"/>
        <w:tblLayout w:type="fixed"/>
        <w:tblCellMar>
          <w:top w:w="28" w:type="dxa"/>
          <w:left w:w="28" w:type="dxa"/>
          <w:bottom w:w="28" w:type="dxa"/>
          <w:right w:w="28" w:type="dxa"/>
        </w:tblCellMar>
      </w:tblPr>
      <w:tblGrid>
        <w:gridCol w:w="1190"/>
        <w:gridCol w:w="1029"/>
        <w:gridCol w:w="1037"/>
        <w:gridCol w:w="211"/>
        <w:gridCol w:w="466"/>
        <w:gridCol w:w="109"/>
        <w:gridCol w:w="109"/>
        <w:gridCol w:w="109"/>
        <w:gridCol w:w="109"/>
        <w:gridCol w:w="211"/>
        <w:gridCol w:w="466"/>
        <w:gridCol w:w="109"/>
        <w:gridCol w:w="109"/>
        <w:gridCol w:w="109"/>
        <w:gridCol w:w="109"/>
        <w:gridCol w:w="210"/>
        <w:gridCol w:w="211"/>
        <w:gridCol w:w="483"/>
        <w:gridCol w:w="109"/>
        <w:gridCol w:w="109"/>
        <w:gridCol w:w="109"/>
        <w:gridCol w:w="211"/>
        <w:gridCol w:w="616"/>
        <w:gridCol w:w="109"/>
        <w:gridCol w:w="109"/>
        <w:gridCol w:w="109"/>
        <w:gridCol w:w="109"/>
        <w:gridCol w:w="211"/>
        <w:gridCol w:w="616"/>
        <w:gridCol w:w="109"/>
        <w:gridCol w:w="109"/>
        <w:gridCol w:w="109"/>
        <w:gridCol w:w="109"/>
        <w:gridCol w:w="210"/>
        <w:gridCol w:w="211"/>
        <w:gridCol w:w="545"/>
      </w:tblGrid>
      <w:tr>
        <w:trPr/>
        <w:tc>
          <w:tcPr>
            <w:tcW w:w="1190"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r>
      <w:tr>
        <w:trPr/>
        <w:tc>
          <w:tcPr>
            <w:tcW w:w="3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Second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Year-to-Date</w:t>
            </w:r>
          </w:p>
        </w:tc>
      </w:tr>
      <w:tr>
        <w:trPr/>
        <w:tc>
          <w:tcPr>
            <w:tcW w:w="3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3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per Average Selling Square Foot (a)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5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per Average Store (in thousands) (a)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5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Store Size (selling square feet)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Selling Square Feet (in thousands)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jc w:val="left"/>
        <w:rPr>
          <w:color w:val="000000"/>
        </w:rPr>
      </w:pPr>
      <w:r>
        <w:rPr>
          <w:color w:val="000000"/>
        </w:rPr>
        <w:t> </w:t>
      </w:r>
      <w:r>
        <w:rPr>
          <w:rFonts w:ascii="Times New Roman;serif" w:hAnsi="Times New Roman;serif"/>
          <w:b w:val="false"/>
          <w:color w:val="000000"/>
          <w:sz w:val="20"/>
        </w:rPr>
        <w:t>________________</w:t>
      </w:r>
    </w:p>
    <w:p>
      <w:pPr>
        <w:pStyle w:val="TextBody"/>
        <w:bidi w:val="0"/>
        <w:spacing w:lineRule="auto" w:line="288" w:before="0" w:after="6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(a)Sales per average selling square foot and sales per average store, which are indicators of store productivity, are calculated based on store sales for the period divided by the average, including the beginning and end of period, of total selling square footage and store count, respectively.</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represents Company-operated store activity for year-to-date 2026:</w:t>
      </w:r>
    </w:p>
    <w:tbl>
      <w:tblPr>
        <w:tblW w:w="6111" w:type="dxa"/>
        <w:jc w:val="left"/>
        <w:tblInd w:w="0" w:type="dxa"/>
        <w:tblLayout w:type="fixed"/>
        <w:tblCellMar>
          <w:top w:w="28" w:type="dxa"/>
          <w:left w:w="28" w:type="dxa"/>
          <w:bottom w:w="28" w:type="dxa"/>
          <w:right w:w="28" w:type="dxa"/>
        </w:tblCellMar>
      </w:tblPr>
      <w:tblGrid>
        <w:gridCol w:w="435"/>
        <w:gridCol w:w="381"/>
        <w:gridCol w:w="383"/>
        <w:gridCol w:w="462"/>
        <w:gridCol w:w="462"/>
        <w:gridCol w:w="470"/>
        <w:gridCol w:w="109"/>
        <w:gridCol w:w="109"/>
        <w:gridCol w:w="109"/>
        <w:gridCol w:w="220"/>
        <w:gridCol w:w="220"/>
        <w:gridCol w:w="221"/>
        <w:gridCol w:w="109"/>
        <w:gridCol w:w="109"/>
        <w:gridCol w:w="109"/>
        <w:gridCol w:w="218"/>
        <w:gridCol w:w="218"/>
        <w:gridCol w:w="196"/>
        <w:gridCol w:w="109"/>
        <w:gridCol w:w="109"/>
        <w:gridCol w:w="109"/>
        <w:gridCol w:w="363"/>
        <w:gridCol w:w="363"/>
        <w:gridCol w:w="518"/>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Stores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Stores</w:t>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January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Opened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Closed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1, 2026</w:t>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9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1,814 </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1,823 </w:t>
            </w:r>
          </w:p>
        </w:tc>
        <w:tc>
          <w:tcPr>
            <w:tcW w:w="5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92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1,927 </w:t>
            </w:r>
          </w:p>
        </w:tc>
        <w:tc>
          <w:tcPr>
            <w:tcW w:w="4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1,937 </w:t>
            </w:r>
          </w:p>
        </w:tc>
        <w:tc>
          <w:tcPr>
            <w:tcW w:w="5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Partner-operated Stores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represents Partner-operated store activity for year-to-date 2026:</w:t>
      </w:r>
    </w:p>
    <w:tbl>
      <w:tblPr>
        <w:tblW w:w="7267" w:type="dxa"/>
        <w:jc w:val="left"/>
        <w:tblInd w:w="0" w:type="dxa"/>
        <w:tblLayout w:type="fixed"/>
        <w:tblCellMar>
          <w:top w:w="28" w:type="dxa"/>
          <w:left w:w="28" w:type="dxa"/>
          <w:bottom w:w="28" w:type="dxa"/>
          <w:right w:w="28" w:type="dxa"/>
        </w:tblCellMar>
      </w:tblPr>
      <w:tblGrid>
        <w:gridCol w:w="863"/>
        <w:gridCol w:w="760"/>
        <w:gridCol w:w="762"/>
        <w:gridCol w:w="462"/>
        <w:gridCol w:w="462"/>
        <w:gridCol w:w="470"/>
        <w:gridCol w:w="109"/>
        <w:gridCol w:w="109"/>
        <w:gridCol w:w="109"/>
        <w:gridCol w:w="220"/>
        <w:gridCol w:w="220"/>
        <w:gridCol w:w="221"/>
        <w:gridCol w:w="109"/>
        <w:gridCol w:w="109"/>
        <w:gridCol w:w="109"/>
        <w:gridCol w:w="203"/>
        <w:gridCol w:w="203"/>
        <w:gridCol w:w="196"/>
        <w:gridCol w:w="109"/>
        <w:gridCol w:w="109"/>
        <w:gridCol w:w="109"/>
        <w:gridCol w:w="363"/>
        <w:gridCol w:w="363"/>
        <w:gridCol w:w="518"/>
      </w:tblGrid>
      <w:tr>
        <w:trPr/>
        <w:tc>
          <w:tcPr>
            <w:tcW w:w="86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Stores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Stores</w:t>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January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Opened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Closed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1, 2026</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9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536 </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559 </w:t>
            </w:r>
          </w:p>
        </w:tc>
        <w:tc>
          <w:tcPr>
            <w:tcW w:w="5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 - Travel Retail</w:t>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International (a)</w:t>
            </w:r>
          </w:p>
        </w:tc>
        <w:tc>
          <w:tcPr>
            <w:tcW w:w="92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573 </w:t>
            </w:r>
          </w:p>
        </w:tc>
        <w:tc>
          <w:tcPr>
            <w:tcW w:w="4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596 </w:t>
            </w:r>
          </w:p>
        </w:tc>
        <w:tc>
          <w:tcPr>
            <w:tcW w:w="5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________________</w:t>
      </w:r>
    </w:p>
    <w:p>
      <w:pPr>
        <w:pStyle w:val="TextBody"/>
        <w:bidi w:val="0"/>
        <w:spacing w:lineRule="auto" w:line="288" w:before="0" w:after="6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(a)Includes store locations only and does not include kiosks, shop-in-shops, gondola or beauty counter locations.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Second Quarter of 2026 Compared to the Second Quarter of 2025</w:t>
      </w:r>
    </w:p>
    <w:p>
      <w:pPr>
        <w:pStyle w:val="TextBody"/>
        <w:bidi w:val="0"/>
        <w:spacing w:lineRule="auto" w:line="288" w:before="100" w:after="283"/>
        <w:jc w:val="left"/>
        <w:rPr>
          <w:rFonts w:ascii="Times New Roman;serif" w:hAnsi="Times New Roman;serif"/>
          <w:b/>
          <w:i/>
          <w:color w:val="000000"/>
          <w:sz w:val="20"/>
        </w:rPr>
      </w:pPr>
      <w:r>
        <w:rPr>
          <w:rFonts w:ascii="Times New Roman;serif" w:hAnsi="Times New Roman;serif"/>
          <w:b/>
          <w:i/>
          <w:color w:val="000000"/>
          <w:sz w:val="20"/>
        </w:rPr>
        <w:t>Net Sales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Net Sales for the second quarter of 2026 in comparison to the second quarter of 2025:</w:t>
      </w:r>
    </w:p>
    <w:tbl>
      <w:tblPr>
        <w:tblW w:w="5891" w:type="dxa"/>
        <w:jc w:val="left"/>
        <w:tblInd w:w="0" w:type="dxa"/>
        <w:tblLayout w:type="fixed"/>
        <w:tblCellMar>
          <w:top w:w="28" w:type="dxa"/>
          <w:left w:w="28" w:type="dxa"/>
          <w:bottom w:w="28" w:type="dxa"/>
          <w:right w:w="28" w:type="dxa"/>
        </w:tblCellMar>
      </w:tblPr>
      <w:tblGrid>
        <w:gridCol w:w="851"/>
        <w:gridCol w:w="749"/>
        <w:gridCol w:w="755"/>
        <w:gridCol w:w="211"/>
        <w:gridCol w:w="616"/>
        <w:gridCol w:w="109"/>
        <w:gridCol w:w="109"/>
        <w:gridCol w:w="109"/>
        <w:gridCol w:w="109"/>
        <w:gridCol w:w="211"/>
        <w:gridCol w:w="616"/>
        <w:gridCol w:w="109"/>
        <w:gridCol w:w="109"/>
        <w:gridCol w:w="109"/>
        <w:gridCol w:w="109"/>
        <w:gridCol w:w="232"/>
        <w:gridCol w:w="234"/>
        <w:gridCol w:w="544"/>
      </w:tblGrid>
      <w:tr>
        <w:trPr/>
        <w:tc>
          <w:tcPr>
            <w:tcW w:w="85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Stores - U.S. and Canada (a)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 - U.S. and Canada</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 and Other (b)</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Net Sales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5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00" w:after="60"/>
        <w:jc w:val="left"/>
        <w:rPr>
          <w:color w:val="000000"/>
        </w:rPr>
      </w:pPr>
      <w:r>
        <w:rPr>
          <w:color w:val="000000"/>
        </w:rPr>
        <w:t> </w:t>
      </w:r>
      <w:r>
        <w:rPr>
          <w:rFonts w:ascii="Times New Roman;serif" w:hAnsi="Times New Roman;serif"/>
          <w:b w:val="false"/>
          <w:color w:val="000000"/>
          <w:sz w:val="20"/>
        </w:rPr>
        <w:t>_______________</w:t>
      </w:r>
    </w:p>
    <w:p>
      <w:pPr>
        <w:pStyle w:val="TextBody"/>
        <w:bidi w:val="0"/>
        <w:spacing w:lineRule="auto" w:line="276" w:before="0" w:after="6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(a)Results include fulfilled buy online pick up in store (“BOPIS”) orders.</w:t>
      </w:r>
    </w:p>
    <w:p>
      <w:pPr>
        <w:pStyle w:val="TextBody"/>
        <w:bidi w:val="0"/>
        <w:spacing w:lineRule="auto" w:line="276" w:before="0" w:after="6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(b)Results include royalties associated with franchised stores, as well as international and domestic wholesale sales.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00949a80dd2a484ebedc9e0f9998be34_10">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For the second quarter of 2026, total Net Sales were $1,514 million and decreased $35 million, or 2.3%, compared to the second quarter of 2025. Stores Net Sales decreased $65 million, or 5.4%, driven by a decrease in transactions and average dollar sales. Direct Net Sales increased $8 million, or 3.0%, primarily driven by an increase in fulfilled orders, partially offset by average order size and lower shipping and handling revenue. International and Other Net Sales increased $22 million, or 24.9%, compared to the second quarter of 2025 driven by expanded distribution of domestic wholesale, which includes Ulta and Amazon, and increased international product sales.</w:t>
      </w:r>
    </w:p>
    <w:p>
      <w:pPr>
        <w:pStyle w:val="TextBody"/>
        <w:bidi w:val="0"/>
        <w:spacing w:lineRule="auto" w:line="288" w:before="60" w:after="60"/>
        <w:jc w:val="left"/>
        <w:rPr>
          <w:rFonts w:ascii="Times New Roman;serif" w:hAnsi="Times New Roman;serif"/>
          <w:b/>
          <w:i/>
          <w:color w:val="000000"/>
          <w:sz w:val="20"/>
        </w:rPr>
      </w:pPr>
      <w:r>
        <w:rPr>
          <w:rFonts w:ascii="Times New Roman;serif" w:hAnsi="Times New Roman;serif"/>
          <w:b/>
          <w:i/>
          <w:color w:val="000000"/>
          <w:sz w:val="20"/>
        </w:rPr>
        <w:t>Gross Profit</w:t>
      </w:r>
    </w:p>
    <w:p>
      <w:pPr>
        <w:pStyle w:val="TextBody"/>
        <w:bidi w:val="0"/>
        <w:spacing w:lineRule="auto" w:line="288" w:before="60" w:after="60"/>
        <w:jc w:val="left"/>
        <w:rPr>
          <w:rFonts w:ascii="Times New Roman;serif" w:hAnsi="Times New Roman;serif"/>
          <w:b w:val="false"/>
          <w:color w:val="000000"/>
          <w:sz w:val="20"/>
        </w:rPr>
      </w:pPr>
      <w:r>
        <w:rPr>
          <w:rFonts w:ascii="Times New Roman;serif" w:hAnsi="Times New Roman;serif"/>
          <w:b w:val="false"/>
          <w:color w:val="000000"/>
          <w:sz w:val="20"/>
        </w:rPr>
        <w:t>For the second quarter of 2026, our Gross Profit was $692 million, which increased $52 million compared to the second quarter of 2025, and our Gross Profit rate (expressed as a percentage of Net Sales) was 45.7%, which increased from 41.3% in the second quarter of 2025. Gross Profit dollars increased due to an increase in the merchandise margin rate, partially offset by the decline in Net Sales. The merchandise margin rate increase was driven by approximately $80 million of IEEPA tariff refunds, partially offset by the deleverage on lower Net Sales.</w:t>
      </w:r>
    </w:p>
    <w:p>
      <w:pPr>
        <w:pStyle w:val="TextBody"/>
        <w:bidi w:val="0"/>
        <w:spacing w:lineRule="auto" w:line="288" w:before="60" w:after="60"/>
        <w:jc w:val="left"/>
        <w:rPr>
          <w:rFonts w:ascii="Times New Roman;serif" w:hAnsi="Times New Roman;serif"/>
          <w:b w:val="false"/>
          <w:color w:val="000000"/>
          <w:sz w:val="20"/>
        </w:rPr>
      </w:pPr>
      <w:r>
        <w:rPr>
          <w:rFonts w:ascii="Times New Roman;serif" w:hAnsi="Times New Roman;serif"/>
          <w:b w:val="false"/>
          <w:color w:val="000000"/>
          <w:sz w:val="20"/>
        </w:rPr>
        <w:t>The Gross Profit rate increased primarily due to the increase in the merchandise margin rate, partially offset by Buying and Occupancy Expenses deleverage on lower Net Sales.</w:t>
      </w:r>
    </w:p>
    <w:p>
      <w:pPr>
        <w:pStyle w:val="TextBody"/>
        <w:bidi w:val="0"/>
        <w:spacing w:lineRule="auto" w:line="288" w:before="60" w:after="60"/>
        <w:jc w:val="left"/>
        <w:rPr>
          <w:rFonts w:ascii="Times New Roman;serif" w:hAnsi="Times New Roman;serif"/>
          <w:b/>
          <w:i/>
          <w:color w:val="000000"/>
          <w:sz w:val="20"/>
        </w:rPr>
      </w:pPr>
      <w:r>
        <w:rPr>
          <w:rFonts w:ascii="Times New Roman;serif" w:hAnsi="Times New Roman;serif"/>
          <w:b/>
          <w:i/>
          <w:color w:val="000000"/>
          <w:sz w:val="20"/>
        </w:rPr>
        <w:t xml:space="preserve">General, Administrative and Store Operating Expenses </w:t>
      </w:r>
    </w:p>
    <w:p>
      <w:pPr>
        <w:pStyle w:val="TextBody"/>
        <w:bidi w:val="0"/>
        <w:spacing w:lineRule="auto" w:line="288" w:before="60" w:after="6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detail for our General, Administrative and Store Operating Expenses for the second quarter of 2026 compared to the second quarter of 2025:</w:t>
      </w:r>
    </w:p>
    <w:tbl>
      <w:tblPr>
        <w:tblW w:w="10205" w:type="dxa"/>
        <w:jc w:val="left"/>
        <w:tblInd w:w="0" w:type="dxa"/>
        <w:tblLayout w:type="fixed"/>
        <w:tblCellMar>
          <w:top w:w="28" w:type="dxa"/>
          <w:left w:w="28" w:type="dxa"/>
          <w:bottom w:w="28" w:type="dxa"/>
          <w:right w:w="28" w:type="dxa"/>
        </w:tblCellMar>
      </w:tblPr>
      <w:tblGrid>
        <w:gridCol w:w="1012"/>
        <w:gridCol w:w="845"/>
        <w:gridCol w:w="814"/>
        <w:gridCol w:w="244"/>
        <w:gridCol w:w="541"/>
        <w:gridCol w:w="126"/>
        <w:gridCol w:w="109"/>
        <w:gridCol w:w="109"/>
        <w:gridCol w:w="109"/>
        <w:gridCol w:w="261"/>
        <w:gridCol w:w="245"/>
        <w:gridCol w:w="546"/>
        <w:gridCol w:w="109"/>
        <w:gridCol w:w="109"/>
        <w:gridCol w:w="109"/>
        <w:gridCol w:w="244"/>
        <w:gridCol w:w="541"/>
        <w:gridCol w:w="126"/>
        <w:gridCol w:w="109"/>
        <w:gridCol w:w="109"/>
        <w:gridCol w:w="109"/>
        <w:gridCol w:w="261"/>
        <w:gridCol w:w="245"/>
        <w:gridCol w:w="546"/>
        <w:gridCol w:w="109"/>
        <w:gridCol w:w="109"/>
        <w:gridCol w:w="109"/>
        <w:gridCol w:w="302"/>
        <w:gridCol w:w="418"/>
        <w:gridCol w:w="158"/>
        <w:gridCol w:w="109"/>
        <w:gridCol w:w="109"/>
        <w:gridCol w:w="109"/>
        <w:gridCol w:w="223"/>
        <w:gridCol w:w="216"/>
        <w:gridCol w:w="656"/>
      </w:tblGrid>
      <w:tr>
        <w:trPr/>
        <w:tc>
          <w:tcPr>
            <w:tcW w:w="1012"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r>
      <w:tr>
        <w:trPr/>
        <w:tc>
          <w:tcPr>
            <w:tcW w:w="2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Net Sales</w:t>
            </w:r>
          </w:p>
        </w:tc>
      </w:tr>
      <w:tr>
        <w:trPr/>
        <w:tc>
          <w:tcPr>
            <w:tcW w:w="2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Expenses</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w:t>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w:t>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Expenses</w:t>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6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5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5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6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w:t>
            </w:r>
          </w:p>
        </w:tc>
        <w:tc>
          <w:tcPr>
            <w:tcW w:w="5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w:t>
            </w:r>
          </w:p>
        </w:tc>
        <w:tc>
          <w:tcPr>
            <w:tcW w:w="5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6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For the second quarter of 2026, our total General, Administrative and Store Operating Expenses were $476 million, which decreased $7 million compared to the second quarter of 2025, and the rate (expressed as a percentage of Net Sales) was 31.5%, which increased from 31.1% in the second quarter of 2025. General and Administrative Expenses decreased primarily driven by $15 million of costs related to the transition of certain members of the leadership team in the second quarter of 2025 and lower share-based compensation expense in the second quarter of 2026, partially offset by business transformation activities and other discrete items in the second quarter of 2026. Selling Expenses decreased primarily driven by lower store sales, partially offset by investments in associate wages. The increase in Marketing Expenses was driven by incremental spend and strategic investments to support the Consumer First Formula in 2026.</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General, Administrative and Store Operating Expense rate increased primarily due to incremental investments in marketing, business transformation activities and other discrete items in the second quarter of 2026, partially offset by leadership transition costs incurred in the second quarter of 2025. The second quarter of 2026 rate also reflects deleverage due to the Net Sales decline.</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Other Income and Expenses</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Interest Expense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the average daily borrowings and average borrowing rates for the second quarters of 2026 and 2025:</w:t>
      </w:r>
    </w:p>
    <w:tbl>
      <w:tblPr>
        <w:tblW w:w="5838" w:type="dxa"/>
        <w:jc w:val="left"/>
        <w:tblInd w:w="0" w:type="dxa"/>
        <w:tblLayout w:type="fixed"/>
        <w:tblCellMar>
          <w:top w:w="28" w:type="dxa"/>
          <w:left w:w="28" w:type="dxa"/>
          <w:bottom w:w="28" w:type="dxa"/>
          <w:right w:w="28" w:type="dxa"/>
        </w:tblCellMar>
      </w:tblPr>
      <w:tblGrid>
        <w:gridCol w:w="1184"/>
        <w:gridCol w:w="1041"/>
        <w:gridCol w:w="1045"/>
        <w:gridCol w:w="211"/>
        <w:gridCol w:w="616"/>
        <w:gridCol w:w="271"/>
        <w:gridCol w:w="109"/>
        <w:gridCol w:w="109"/>
        <w:gridCol w:w="109"/>
        <w:gridCol w:w="211"/>
        <w:gridCol w:w="616"/>
        <w:gridCol w:w="316"/>
      </w:tblGrid>
      <w:tr>
        <w:trPr/>
        <w:tc>
          <w:tcPr>
            <w:tcW w:w="1184"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daily borrowings (in millions)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3,916 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borrowing rate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60" w:after="60"/>
        <w:jc w:val="left"/>
        <w:rPr>
          <w:rFonts w:ascii="Times New Roman;serif" w:hAnsi="Times New Roman;serif"/>
          <w:b w:val="false"/>
          <w:color w:val="000000"/>
          <w:sz w:val="20"/>
        </w:rPr>
      </w:pPr>
      <w:r>
        <w:rPr>
          <w:rFonts w:ascii="Times New Roman;serif" w:hAnsi="Times New Roman;serif"/>
          <w:b w:val="false"/>
          <w:color w:val="000000"/>
          <w:sz w:val="20"/>
        </w:rPr>
        <w:t>For the second quarter of 2026, our Interest Expense was $63 million, compared to $68 million in the second quarter of 2025. The decrease was primarily due to lower average daily borrowings driven by the early extinguishment of the outstanding 2027 Notes in the first quarter of fiscal year 2026.</w:t>
      </w:r>
    </w:p>
    <w:p>
      <w:pPr>
        <w:pStyle w:val="TextBody"/>
        <w:bidi w:val="0"/>
        <w:spacing w:lineRule="auto" w:line="288" w:before="60" w:after="60"/>
        <w:jc w:val="left"/>
        <w:rPr>
          <w:rFonts w:ascii="Times New Roman;serif" w:hAnsi="Times New Roman;serif"/>
          <w:b w:val="false"/>
          <w:i/>
          <w:color w:val="000000"/>
          <w:sz w:val="20"/>
        </w:rPr>
      </w:pPr>
      <w:r>
        <w:rPr>
          <w:rFonts w:ascii="Times New Roman;serif" w:hAnsi="Times New Roman;serif"/>
          <w:b w:val="false"/>
          <w:i/>
          <w:color w:val="000000"/>
          <w:sz w:val="20"/>
        </w:rPr>
        <w:t>Other Income, Net</w:t>
      </w:r>
    </w:p>
    <w:p>
      <w:pPr>
        <w:pStyle w:val="TextBody"/>
        <w:bidi w:val="0"/>
        <w:spacing w:lineRule="auto" w:line="268" w:before="60" w:after="60"/>
        <w:jc w:val="left"/>
        <w:rPr>
          <w:rFonts w:ascii="Times New Roman;serif" w:hAnsi="Times New Roman;serif"/>
          <w:b w:val="false"/>
          <w:color w:val="000000"/>
          <w:sz w:val="20"/>
        </w:rPr>
      </w:pPr>
      <w:r>
        <w:rPr>
          <w:rFonts w:ascii="Times New Roman;serif" w:hAnsi="Times New Roman;serif"/>
          <w:b w:val="false"/>
          <w:color w:val="000000"/>
          <w:sz w:val="20"/>
        </w:rPr>
        <w:t>For the second quarter of 2026, our Other Income, Net was $11 million, compared to $6 million in the second quarter of 2025. The increase was primarily due to interest received in connection with IEEPA tariff refunds.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00949a80dd2a484ebedc9e0f9998be34_10">
        <w:r>
          <w:rPr>
            <w:rStyle w:val="InternetLink"/>
            <w:rFonts w:ascii="Times New Roman;serif" w:hAnsi="Times New Roman;serif"/>
            <w:b w:val="false"/>
            <w:color w:val="0000FF"/>
            <w:sz w:val="16"/>
            <w:u w:val="single"/>
          </w:rPr>
          <w:t>Table of Contents</w:t>
        </w:r>
      </w:hyperlink>
    </w:p>
    <w:p>
      <w:pPr>
        <w:pStyle w:val="TextBody"/>
        <w:bidi w:val="0"/>
        <w:spacing w:lineRule="auto" w:line="288" w:before="60" w:after="60"/>
        <w:jc w:val="left"/>
        <w:rPr>
          <w:rFonts w:ascii="Times New Roman;serif" w:hAnsi="Times New Roman;serif"/>
          <w:b/>
          <w:i/>
          <w:color w:val="000000"/>
          <w:sz w:val="20"/>
        </w:rPr>
      </w:pPr>
      <w:r>
        <w:rPr>
          <w:rFonts w:ascii="Times New Roman;serif" w:hAnsi="Times New Roman;serif"/>
          <w:b/>
          <w:i/>
          <w:color w:val="000000"/>
          <w:sz w:val="20"/>
        </w:rPr>
        <w:t>Provision for Income Taxes</w:t>
      </w:r>
    </w:p>
    <w:p>
      <w:pPr>
        <w:pStyle w:val="TextBody"/>
        <w:bidi w:val="0"/>
        <w:spacing w:lineRule="auto" w:line="268" w:before="60" w:after="60"/>
        <w:jc w:val="left"/>
        <w:rPr>
          <w:rFonts w:ascii="Times New Roman;serif" w:hAnsi="Times New Roman;serif"/>
          <w:b w:val="false"/>
          <w:color w:val="000000"/>
          <w:sz w:val="20"/>
        </w:rPr>
      </w:pPr>
      <w:r>
        <w:rPr>
          <w:rFonts w:ascii="Times New Roman;serif" w:hAnsi="Times New Roman;serif"/>
          <w:b w:val="false"/>
          <w:color w:val="000000"/>
          <w:sz w:val="20"/>
        </w:rPr>
        <w:t>For the second quarter of 2026, our effective tax rate was 28.0% compared to 32.3% in the second quarter of 2025. The 2026 second quarter rate was higher than our combined estimated federal and state statutory rates primarily due to the impact of non-U.S. operations. The 2025 second quarter rate was higher than our combined estimated federal and state statutory rates largely due to the transition of certain members of the leadership team, primarily related to severance benefits.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76" w:before="100" w:after="60"/>
        <w:jc w:val="left"/>
        <w:rPr>
          <w:rFonts w:ascii="Times New Roman;serif" w:hAnsi="Times New Roman;serif"/>
          <w:b/>
          <w:color w:val="000000"/>
          <w:sz w:val="20"/>
        </w:rPr>
      </w:pPr>
      <w:r>
        <w:rPr>
          <w:rFonts w:ascii="Times New Roman;serif" w:hAnsi="Times New Roman;serif"/>
          <w:b/>
          <w:color w:val="000000"/>
          <w:sz w:val="20"/>
        </w:rPr>
        <w:t xml:space="preserve">Year-to-Date 2026 Compared to Year-to-Date 2025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 year-to-date 2026, Operating Income was $447 million, which increased $80 million compared to year-to-date 2025, and the Operating Income rate (expressed as a percentage of Net Sales) was 15.4%, which increased from 12.3% year-to-date 2025. The drivers of the year-to-date Operating Income results are discussed in the following sections. </w:t>
      </w:r>
    </w:p>
    <w:p>
      <w:pPr>
        <w:pStyle w:val="TextBody"/>
        <w:bidi w:val="0"/>
        <w:spacing w:lineRule="auto" w:line="288" w:before="100" w:after="283"/>
        <w:jc w:val="left"/>
        <w:rPr>
          <w:rFonts w:ascii="Times New Roman;serif" w:hAnsi="Times New Roman;serif"/>
          <w:b/>
          <w:i/>
          <w:color w:val="000000"/>
          <w:sz w:val="20"/>
        </w:rPr>
      </w:pPr>
      <w:r>
        <w:rPr>
          <w:rFonts w:ascii="Times New Roman;serif" w:hAnsi="Times New Roman;serif"/>
          <w:b/>
          <w:i/>
          <w:color w:val="000000"/>
          <w:sz w:val="20"/>
        </w:rPr>
        <w:t>Net Sales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Net Sales for year-to-date 2026 in comparison to year-to-date 2025:</w:t>
      </w:r>
    </w:p>
    <w:tbl>
      <w:tblPr>
        <w:tblW w:w="5891" w:type="dxa"/>
        <w:jc w:val="left"/>
        <w:tblInd w:w="0" w:type="dxa"/>
        <w:tblLayout w:type="fixed"/>
        <w:tblCellMar>
          <w:top w:w="28" w:type="dxa"/>
          <w:left w:w="28" w:type="dxa"/>
          <w:bottom w:w="28" w:type="dxa"/>
          <w:right w:w="28" w:type="dxa"/>
        </w:tblCellMar>
      </w:tblPr>
      <w:tblGrid>
        <w:gridCol w:w="851"/>
        <w:gridCol w:w="749"/>
        <w:gridCol w:w="755"/>
        <w:gridCol w:w="211"/>
        <w:gridCol w:w="616"/>
        <w:gridCol w:w="109"/>
        <w:gridCol w:w="109"/>
        <w:gridCol w:w="109"/>
        <w:gridCol w:w="109"/>
        <w:gridCol w:w="211"/>
        <w:gridCol w:w="616"/>
        <w:gridCol w:w="109"/>
        <w:gridCol w:w="109"/>
        <w:gridCol w:w="109"/>
        <w:gridCol w:w="109"/>
        <w:gridCol w:w="232"/>
        <w:gridCol w:w="234"/>
        <w:gridCol w:w="544"/>
      </w:tblGrid>
      <w:tr>
        <w:trPr/>
        <w:tc>
          <w:tcPr>
            <w:tcW w:w="85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Stores - U.S. and Canada (a)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 - U.S. and Canada</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 and Other (b)</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Net Sales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5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00" w:after="60"/>
        <w:jc w:val="left"/>
        <w:rPr>
          <w:color w:val="000000"/>
        </w:rPr>
      </w:pPr>
      <w:r>
        <w:rPr>
          <w:color w:val="000000"/>
        </w:rPr>
        <w:t> </w:t>
      </w:r>
      <w:r>
        <w:rPr>
          <w:rFonts w:ascii="Times New Roman;serif" w:hAnsi="Times New Roman;serif"/>
          <w:b w:val="false"/>
          <w:color w:val="000000"/>
          <w:sz w:val="20"/>
        </w:rPr>
        <w:t>_______________</w:t>
      </w:r>
    </w:p>
    <w:p>
      <w:pPr>
        <w:pStyle w:val="TextBody"/>
        <w:bidi w:val="0"/>
        <w:spacing w:lineRule="auto" w:line="276" w:before="0" w:after="6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(a)Results include fulfilled BOPIS orders.</w:t>
      </w:r>
    </w:p>
    <w:p>
      <w:pPr>
        <w:pStyle w:val="TextBody"/>
        <w:bidi w:val="0"/>
        <w:spacing w:lineRule="auto" w:line="276" w:before="0" w:after="6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(b)Results include royalties associated with franchised stores, as well as international and domestic wholesale sales.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For year-to-date 2026, total Net Sales were $2,892 million and decreased $82 million, or 2.7%, compared to year-to-date 2025. Stores Net Sales decreased $113 million, or 4.9%, primarily driven by a decrease in transactions. Direct Net Sales increased $4 million, or 0.8%, driven by an increase in fulfilled orders, partially offset by lower shipping and handling revenue and average order size. International and Other Net Sales increased $27 million, or 18.1%, driven by increased international product sales and expanded distribution of domestic wholesale, which includes Ulta and Amazon.</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Gross Profit</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For year-to-date 2026, our Gross Profit was $1,279 million, which decreased $8 million compared to year-to-date 2025, and our Gross Profit rate (expressed as a percentage of Net Sales) was 44.2%, which increased from 43.3% year-to-date 2025. Gross Profit dollars decreased due to the decline in Net Sales partially offset by an increase in the merchandise margin rate. The merchandise margin rate increase was driven by approximately $80 million of IEEPA tariff refunds, partially offset by the deleverage on lower Net Sales.</w:t>
      </w:r>
    </w:p>
    <w:p>
      <w:pPr>
        <w:pStyle w:val="TextBody"/>
        <w:bidi w:val="0"/>
        <w:spacing w:lineRule="auto" w:line="288" w:before="60" w:after="60"/>
        <w:jc w:val="left"/>
        <w:rPr>
          <w:rFonts w:ascii="Times New Roman;serif" w:hAnsi="Times New Roman;serif"/>
          <w:b w:val="false"/>
          <w:color w:val="000000"/>
          <w:sz w:val="20"/>
        </w:rPr>
      </w:pPr>
      <w:r>
        <w:rPr>
          <w:rFonts w:ascii="Times New Roman;serif" w:hAnsi="Times New Roman;serif"/>
          <w:b w:val="false"/>
          <w:color w:val="000000"/>
          <w:sz w:val="20"/>
        </w:rPr>
        <w:t>The Gross Profit rate increased primarily due to the increase in the merchandise margin rate, partially offset by Buying and Occupancy Expenses deleverage on lower Net Sales.</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 xml:space="preserve">General, Administrative and Store Operating Expenses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detail for our General, Administrative and Store Operating Expenses for year-to-date 2026 compared to year-to-date 2025:</w:t>
      </w:r>
    </w:p>
    <w:tbl>
      <w:tblPr>
        <w:tblW w:w="10205" w:type="dxa"/>
        <w:jc w:val="left"/>
        <w:tblInd w:w="0" w:type="dxa"/>
        <w:tblLayout w:type="fixed"/>
        <w:tblCellMar>
          <w:top w:w="28" w:type="dxa"/>
          <w:left w:w="28" w:type="dxa"/>
          <w:bottom w:w="28" w:type="dxa"/>
          <w:right w:w="28" w:type="dxa"/>
        </w:tblCellMar>
      </w:tblPr>
      <w:tblGrid>
        <w:gridCol w:w="1011"/>
        <w:gridCol w:w="843"/>
        <w:gridCol w:w="812"/>
        <w:gridCol w:w="244"/>
        <w:gridCol w:w="541"/>
        <w:gridCol w:w="126"/>
        <w:gridCol w:w="109"/>
        <w:gridCol w:w="109"/>
        <w:gridCol w:w="109"/>
        <w:gridCol w:w="261"/>
        <w:gridCol w:w="245"/>
        <w:gridCol w:w="545"/>
        <w:gridCol w:w="109"/>
        <w:gridCol w:w="109"/>
        <w:gridCol w:w="109"/>
        <w:gridCol w:w="244"/>
        <w:gridCol w:w="541"/>
        <w:gridCol w:w="126"/>
        <w:gridCol w:w="109"/>
        <w:gridCol w:w="109"/>
        <w:gridCol w:w="109"/>
        <w:gridCol w:w="261"/>
        <w:gridCol w:w="245"/>
        <w:gridCol w:w="545"/>
        <w:gridCol w:w="109"/>
        <w:gridCol w:w="109"/>
        <w:gridCol w:w="109"/>
        <w:gridCol w:w="252"/>
        <w:gridCol w:w="505"/>
        <w:gridCol w:w="130"/>
        <w:gridCol w:w="109"/>
        <w:gridCol w:w="109"/>
        <w:gridCol w:w="109"/>
        <w:gridCol w:w="223"/>
        <w:gridCol w:w="216"/>
        <w:gridCol w:w="654"/>
      </w:tblGrid>
      <w:tr>
        <w:trPr/>
        <w:tc>
          <w:tcPr>
            <w:tcW w:w="101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r>
      <w:tr>
        <w:trPr/>
        <w:tc>
          <w:tcPr>
            <w:tcW w:w="2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Net Sales</w:t>
            </w:r>
          </w:p>
        </w:tc>
      </w:tr>
      <w:tr>
        <w:trPr/>
        <w:tc>
          <w:tcPr>
            <w:tcW w:w="2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Expenses</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5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w:t>
            </w:r>
          </w:p>
        </w:tc>
        <w:tc>
          <w:tcPr>
            <w:tcW w:w="5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Expenses</w:t>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5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5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6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5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5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6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w:t>
            </w:r>
          </w:p>
        </w:tc>
        <w:tc>
          <w:tcPr>
            <w:tcW w:w="5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w:t>
            </w:r>
          </w:p>
        </w:tc>
        <w:tc>
          <w:tcPr>
            <w:tcW w:w="5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6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00949a80dd2a484ebedc9e0f9998be34_10">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For year-to-date 2026, our total General, Administrative and Store Operating Expenses were $832 million, which decreased $88 million compared to year-to-date 2025, and the rate (expressed as a percentage of Net Sales) was 28.8%, which decreased from 30.9% year-to-date 2025. Selling Expenses decreased primarily driven by an $88 million pre-tax gain related to cash proceeds received, net of legal fees, for favorable settlements of payment card interchange fee litigation, as well as lower store sales. General and Administrative Expenses decreased primarily driven by $15 million of costs related to the transition of certain members of the leadership team in 2025 and lower share-based compensation expense in 2026, partially offset by business transformation activities and other discrete items in 2026. The increase in Marketing Expenses was driven by incremental spend and strategic investments to support the Consumer First Formula in 2026.</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General, Administrative and Store Operating Expense rate decreased primarily due to favorable settlements of payment card interchange fee litigation in 2026 and leadership transition costs incurred in 2025, partially offset by incremental investments in marketing, business transformation activities, and other discrete items in 2026, as well as deleverage due to the Net Sales decline.</w:t>
      </w:r>
    </w:p>
    <w:p>
      <w:pPr>
        <w:pStyle w:val="TextBody"/>
        <w:bidi w:val="0"/>
        <w:spacing w:lineRule="auto" w:line="288" w:before="100" w:after="283"/>
        <w:jc w:val="left"/>
        <w:rPr>
          <w:rFonts w:ascii="Times New Roman;serif" w:hAnsi="Times New Roman;serif"/>
          <w:b/>
          <w:i/>
          <w:color w:val="000000"/>
          <w:sz w:val="20"/>
        </w:rPr>
      </w:pPr>
      <w:r>
        <w:rPr>
          <w:rFonts w:ascii="Times New Roman;serif" w:hAnsi="Times New Roman;serif"/>
          <w:b/>
          <w:i/>
          <w:color w:val="000000"/>
          <w:sz w:val="20"/>
        </w:rPr>
        <w:t>Other Income and Expenses</w:t>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Interest Expense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the average daily borrowings and average borrowing rates for year-to-date 2026 and 2025:</w:t>
      </w:r>
    </w:p>
    <w:tbl>
      <w:tblPr>
        <w:tblW w:w="5838" w:type="dxa"/>
        <w:jc w:val="left"/>
        <w:tblInd w:w="0" w:type="dxa"/>
        <w:tblLayout w:type="fixed"/>
        <w:tblCellMar>
          <w:top w:w="28" w:type="dxa"/>
          <w:left w:w="28" w:type="dxa"/>
          <w:bottom w:w="28" w:type="dxa"/>
          <w:right w:w="28" w:type="dxa"/>
        </w:tblCellMar>
      </w:tblPr>
      <w:tblGrid>
        <w:gridCol w:w="1184"/>
        <w:gridCol w:w="1041"/>
        <w:gridCol w:w="1045"/>
        <w:gridCol w:w="211"/>
        <w:gridCol w:w="616"/>
        <w:gridCol w:w="271"/>
        <w:gridCol w:w="109"/>
        <w:gridCol w:w="109"/>
        <w:gridCol w:w="109"/>
        <w:gridCol w:w="211"/>
        <w:gridCol w:w="616"/>
        <w:gridCol w:w="316"/>
      </w:tblGrid>
      <w:tr>
        <w:trPr/>
        <w:tc>
          <w:tcPr>
            <w:tcW w:w="1184"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daily borrowings (in millions)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3,916 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borrowing rate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For year-to-date 2026, our Interest Expense was $132 million, compared to $139 million for year-to-date 2025. The decrease was primarily due to lower average daily borrowings driven by the early extinguishment of outstanding notes in the first quarter of 2026.</w:t>
      </w:r>
    </w:p>
    <w:p>
      <w:pPr>
        <w:pStyle w:val="TextBody"/>
        <w:bidi w:val="0"/>
        <w:spacing w:lineRule="auto" w:line="276" w:before="100" w:after="283"/>
        <w:jc w:val="left"/>
        <w:rPr>
          <w:rFonts w:ascii="Times New Roman;serif" w:hAnsi="Times New Roman;serif"/>
          <w:b w:val="false"/>
          <w:i/>
          <w:color w:val="000000"/>
          <w:sz w:val="20"/>
        </w:rPr>
      </w:pPr>
      <w:r>
        <w:rPr>
          <w:rFonts w:ascii="Times New Roman;serif" w:hAnsi="Times New Roman;serif"/>
          <w:b w:val="false"/>
          <w:i/>
          <w:color w:val="000000"/>
          <w:sz w:val="20"/>
        </w:rPr>
        <w:t>Other Income, Net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For year-to-date 2026, our Other Income, Net was $15 million, compared to $13 million for year-to-date 2025. The increase was due to higher interest income on invested cash and IEEPA tariff refunds in year-to-date 2026 and a $3 million pre-tax gain related to the sale of a non-core asset recognized in the first quarter of 2026, partially offset by an $8 million pre-tax loss related to the early extinguishment of the outstanding notes in the first quarter of 2026.</w:t>
      </w:r>
    </w:p>
    <w:p>
      <w:pPr>
        <w:pStyle w:val="TextBody"/>
        <w:bidi w:val="0"/>
        <w:spacing w:lineRule="auto" w:line="268" w:before="100" w:after="120"/>
        <w:jc w:val="left"/>
        <w:rPr>
          <w:rFonts w:ascii="Times New Roman;serif" w:hAnsi="Times New Roman;serif"/>
          <w:b/>
          <w:i/>
          <w:color w:val="000000"/>
          <w:sz w:val="20"/>
        </w:rPr>
      </w:pPr>
      <w:r>
        <w:rPr>
          <w:rFonts w:ascii="Times New Roman;serif" w:hAnsi="Times New Roman;serif"/>
          <w:b/>
          <w:i/>
          <w:color w:val="000000"/>
          <w:sz w:val="20"/>
        </w:rPr>
        <w:t>Provision for Income Taxes</w:t>
      </w:r>
    </w:p>
    <w:p>
      <w:pPr>
        <w:pStyle w:val="TextBody"/>
        <w:bidi w:val="0"/>
        <w:spacing w:lineRule="auto" w:line="288" w:before="10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For year-to-date 2026, our effective tax rate was 8.8% compared to 29.9% for year-to-date 2025. The 2026 year-to-date rate was lower than our combined estimated federal and state statutory rates largely due to the resolution of certain tax matters. The 2025 year-to-date rate was higher than our combined estimated federal and state statutory rates largely due to accrued interest expense related to unrecognized tax benefits and the transition of certain members of the leadership team, primarily related to severance benefits.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60"/>
        <w:jc w:val="left"/>
        <w:rPr>
          <w:rFonts w:ascii="Times New Roman;serif" w:hAnsi="Times New Roman;serif"/>
          <w:b/>
          <w:color w:val="000000"/>
          <w:sz w:val="20"/>
        </w:rPr>
      </w:pPr>
      <w:r>
        <w:rPr>
          <w:rFonts w:ascii="Times New Roman;serif" w:hAnsi="Times New Roman;serif"/>
          <w:b/>
          <w:color w:val="000000"/>
          <w:sz w:val="20"/>
        </w:rPr>
        <w:t>FINANCIAL CONDITION</w:t>
      </w:r>
    </w:p>
    <w:p>
      <w:pPr>
        <w:pStyle w:val="TextBody"/>
        <w:bidi w:val="0"/>
        <w:spacing w:lineRule="auto" w:line="288" w:before="60" w:after="6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60" w:after="60"/>
        <w:jc w:val="left"/>
        <w:rPr>
          <w:rFonts w:ascii="Times New Roman;serif" w:hAnsi="Times New Roman;serif"/>
          <w:b w:val="false"/>
          <w:color w:val="000000"/>
          <w:sz w:val="20"/>
        </w:rPr>
      </w:pPr>
      <w:r>
        <w:rPr>
          <w:rFonts w:ascii="Times New Roman;serif" w:hAnsi="Times New Roman;serif"/>
          <w:b w:val="false"/>
          <w:color w:val="000000"/>
          <w:sz w:val="20"/>
        </w:rPr>
        <w:t xml:space="preserve">Liquidity, or access to cash, is an important factor in determining our financial stability. We are committed to maintaining adequate liquidity. Cash generated from our operating activities provides the primary resources to support current operations, growth initiatives, seasonal funding requirements, future common stock and debt repurchases and capital expenditures. Our cash provided from operations is impacted by our net income and working capital changes. Our net income is impacted by, among other things, sales volume, seasonal sales patterns, success of new product introductions and product and market expansions, profit margins, income taxes and inflationary pressures. Typically, our sales are highest during the fourth quarter of the fiscal year due to seasonal and holiday-related sales patterns. Generally, our need for working capital peaks during the summer and fall months as inventory builds in anticipation of the holiday period. Our cash and cash equivalents held by foreign subsidiaries were $238 million as of August 1, 2026. </w:t>
      </w:r>
    </w:p>
    <w:p>
      <w:pPr>
        <w:pStyle w:val="TextBody"/>
        <w:bidi w:val="0"/>
        <w:spacing w:lineRule="auto" w:line="288" w:before="60" w:after="60"/>
        <w:jc w:val="left"/>
        <w:rPr>
          <w:rFonts w:ascii="Times New Roman;serif" w:hAnsi="Times New Roman;serif"/>
          <w:b w:val="false"/>
          <w:color w:val="000000"/>
          <w:sz w:val="20"/>
        </w:rPr>
      </w:pPr>
      <w:r>
        <w:rPr>
          <w:rFonts w:ascii="Times New Roman;serif" w:hAnsi="Times New Roman;serif"/>
          <w:b w:val="false"/>
          <w:color w:val="000000"/>
          <w:sz w:val="20"/>
        </w:rPr>
        <w:t>We did not repurchase any shares of our common stock during year-to-date 2026. During the first quarter of 2026, we completed a make-whole call to repurchase the remaining $284 million principal amount of our outstanding 2027 Notes for a repurchase price of $289 million. In addition, subsequent to August 1, 2026, we completed a partial redemption for $250 million aggregate principal amount of our outstanding 2029 Notes for a repurchase price of $253 million. We may, from time to time, repurchase, or otherwise retire, additional debt or shares of our common stock, as applicable.</w:t>
      </w:r>
    </w:p>
    <w:p>
      <w:pPr>
        <w:pStyle w:val="TextBody"/>
        <w:bidi w:val="0"/>
        <w:spacing w:lineRule="auto" w:line="288" w:before="60" w:after="60"/>
        <w:jc w:val="left"/>
        <w:rPr>
          <w:rFonts w:ascii="Times New Roman;serif" w:hAnsi="Times New Roman;serif"/>
          <w:b w:val="false"/>
          <w:color w:val="000000"/>
          <w:sz w:val="20"/>
        </w:rPr>
      </w:pPr>
      <w:r>
        <w:rPr>
          <w:rFonts w:ascii="Times New Roman;serif" w:hAnsi="Times New Roman;serif"/>
          <w:b w:val="false"/>
          <w:color w:val="000000"/>
          <w:sz w:val="20"/>
        </w:rPr>
        <w:t>We believe that our current cash position, our cash flows generated from operations and our borrowing capacity under our asset-backed revolving credit facility (“ABL Facility”) will be sufficient to meet our liquidity needs, including capital expenditure requirements, for at least the next twelve months.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00949a80dd2a484ebedc9e0f9998be34_10">
        <w:r>
          <w:rPr>
            <w:rStyle w:val="InternetLink"/>
            <w:rFonts w:ascii="Times New Roman;serif" w:hAnsi="Times New Roman;serif"/>
            <w:b w:val="false"/>
            <w:color w:val="0000FF"/>
            <w:sz w:val="16"/>
            <w:u w:val="single"/>
          </w:rPr>
          <w:t>Table of Contents</w:t>
        </w:r>
      </w:hyperlink>
    </w:p>
    <w:p>
      <w:pPr>
        <w:pStyle w:val="TextBody"/>
        <w:bidi w:val="0"/>
        <w:spacing w:lineRule="auto" w:line="288" w:before="60" w:after="60"/>
        <w:jc w:val="left"/>
        <w:rPr>
          <w:rFonts w:ascii="Times New Roman;serif" w:hAnsi="Times New Roman;serif"/>
          <w:b/>
          <w:color w:val="000000"/>
          <w:sz w:val="20"/>
        </w:rPr>
      </w:pPr>
      <w:r>
        <w:rPr>
          <w:rFonts w:ascii="Times New Roman;serif" w:hAnsi="Times New Roman;serif"/>
          <w:b/>
          <w:color w:val="000000"/>
          <w:sz w:val="20"/>
        </w:rPr>
        <w:t>Cash Flows</w:t>
      </w:r>
    </w:p>
    <w:p>
      <w:pPr>
        <w:pStyle w:val="TextBody"/>
        <w:bidi w:val="0"/>
        <w:spacing w:lineRule="auto" w:line="288" w:before="60" w:after="6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summary of our cash flow activity during year-to-date of 2026 and 2025:</w:t>
      </w:r>
    </w:p>
    <w:tbl>
      <w:tblPr>
        <w:tblW w:w="7374" w:type="dxa"/>
        <w:jc w:val="left"/>
        <w:tblInd w:w="0" w:type="dxa"/>
        <w:tblLayout w:type="fixed"/>
        <w:tblCellMar>
          <w:top w:w="28" w:type="dxa"/>
          <w:left w:w="28" w:type="dxa"/>
          <w:bottom w:w="28" w:type="dxa"/>
          <w:right w:w="28" w:type="dxa"/>
        </w:tblCellMar>
      </w:tblPr>
      <w:tblGrid>
        <w:gridCol w:w="1966"/>
        <w:gridCol w:w="1730"/>
        <w:gridCol w:w="1734"/>
        <w:gridCol w:w="211"/>
        <w:gridCol w:w="466"/>
        <w:gridCol w:w="109"/>
        <w:gridCol w:w="109"/>
        <w:gridCol w:w="109"/>
        <w:gridCol w:w="109"/>
        <w:gridCol w:w="211"/>
        <w:gridCol w:w="466"/>
        <w:gridCol w:w="154"/>
      </w:tblGrid>
      <w:tr>
        <w:trPr/>
        <w:tc>
          <w:tcPr>
            <w:tcW w:w="1966"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Cash Equivalents, Beginning of Year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Flows Provided by Operating Activities</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Flows Used for Investing Activities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Flows Used for Financing Activities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Effects of Exchange Rate Changes on Cash and Cash Equivalents</w:t>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Cash and Cash Equivalents</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Cash Equivalents,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i/>
          <w:color w:val="000000"/>
          <w:sz w:val="20"/>
        </w:rPr>
      </w:pPr>
      <w:r>
        <w:rPr>
          <w:rFonts w:ascii="Times New Roman;serif" w:hAnsi="Times New Roman;serif"/>
          <w:b/>
          <w:i/>
          <w:color w:val="000000"/>
          <w:sz w:val="20"/>
        </w:rPr>
        <w:t>Operating Activities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for year-to-date 2026 was $316 million, including net income of $301 million. Net income included depreciation expense of $120 million, $88 million received related to settlements of payment card interchange fee litigation, $85 million of IEEPA tariff refunds and related interest, a $62 million tax benefit related to the resolution of certain tax matters, share-based compensation expense of $10 million and loss on extinguishment of debt of $8 million. Other changes in assets and liabilities represent items that had a current period cash flow impact, such as changes in working capital. The most significant items in working capital were the seasonal changes in Inventories and Accounts Payable.</w:t>
      </w:r>
    </w:p>
    <w:p>
      <w:pPr>
        <w:pStyle w:val="TextBody"/>
        <w:bidi w:val="0"/>
        <w:spacing w:lineRule="auto" w:line="288" w:before="100" w:after="120"/>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for year-to-date 2025 was $145 million, including net income of $169 million. Net income included depreciation expense of $128 million and share-based compensation expense of $18 million. Other changes in assets and liabilities represent items that had a current period cash flow impact, such as changes in working capital. The most significant items in working capital were the seasonal changes in Inventories, Income Taxes Payable and Accounts Receivable, with Inventories also impacted by the higher tariff levels during the year. Accounts Payable, Accrued Expenses and Other provided a cash flow benefit primarily due to our efforts to improve working capital.</w:t>
      </w:r>
    </w:p>
    <w:p>
      <w:pPr>
        <w:pStyle w:val="TextBody"/>
        <w:bidi w:val="0"/>
        <w:spacing w:lineRule="auto" w:line="288" w:before="100" w:after="283"/>
        <w:jc w:val="left"/>
        <w:rPr>
          <w:rFonts w:ascii="Times New Roman;serif" w:hAnsi="Times New Roman;serif"/>
          <w:b/>
          <w:i/>
          <w:color w:val="000000"/>
          <w:sz w:val="20"/>
        </w:rPr>
      </w:pPr>
      <w:r>
        <w:rPr>
          <w:rFonts w:ascii="Times New Roman;serif" w:hAnsi="Times New Roman;serif"/>
          <w:b/>
          <w:i/>
          <w:color w:val="000000"/>
          <w:sz w:val="20"/>
        </w:rPr>
        <w:t xml:space="preserve">Investing Activities </w:t>
      </w:r>
    </w:p>
    <w:p>
      <w:pPr>
        <w:pStyle w:val="TextBody"/>
        <w:bidi w:val="0"/>
        <w:spacing w:lineRule="auto" w:line="288" w:before="10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Net cash used for investing activities for year-to-date 2026 was $89 million, primarily related to capital expenditures of $98 million partially offset by cash proceeds of $8 million related to the sale of a non-core asset. The capital expenditures included approximately $70 million related to new off-mall stores and remodels of existing stores, approximately $10 million related to supply chain and logistics capabilities and approximately $10 million for product assortment related to business transformation activities. </w:t>
      </w:r>
    </w:p>
    <w:p>
      <w:pPr>
        <w:pStyle w:val="TextBody"/>
        <w:bidi w:val="0"/>
        <w:spacing w:lineRule="auto" w:line="288" w:before="100" w:after="120"/>
        <w:jc w:val="left"/>
        <w:rPr>
          <w:rFonts w:ascii="Times New Roman;serif" w:hAnsi="Times New Roman;serif"/>
          <w:b w:val="false"/>
          <w:color w:val="000000"/>
          <w:sz w:val="20"/>
        </w:rPr>
      </w:pPr>
      <w:r>
        <w:rPr>
          <w:rFonts w:ascii="Times New Roman;serif" w:hAnsi="Times New Roman;serif"/>
          <w:b w:val="false"/>
          <w:color w:val="000000"/>
          <w:sz w:val="20"/>
        </w:rPr>
        <w:t>Net cash used for investing activities for year-to-date 2025 was $95 million, primarily related to capital expenditures. The capital expenditures included approximately $60 million related to new off-mall stores and remodels of existing stores and approximately $20 million for various technology projects primarily to support the growth and profitability of our business.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 2026, we now expect to invest approximately $240 million in capital expenditures, focused on high return real estate and Consumer First Formula investments, largely related to product assortment, logistics and fulfillment upgrades.</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 xml:space="preserve">Financing Activities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Net cash used for financing activities for year-to-date 2026 was $384 million, primarily consisting of $289 million for the early extinguishment of the outstanding 2027 Notes and dividend payments of $0.40 per share, or $80 million.</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Net cash used for financing activities for year-to-date 2025 was $362 million, primarily consisting of $254 million for share repurchases and dividend payments of $0.40 per share, or $85 million.</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Subsequent to August 1, 2026, we completed a partial redemption for $250 million aggregate principal amount of our outstanding 2029 Notes for a repurchase price of $253 million.</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Common Stock and Debt Repurchases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Our Board of Directors (our “Board”) will determine share and debt repurchase authorizations, giving consideration to our levels of profit and cash flow, capital requirements, current and forecasted liquidity, the restrictions placed upon us by our borrowing arrangements as well as financial and other conditions existing at the time. We use cash flow generated from operating and financing activities to fund our share and debt repurchase programs. The timing and amount of any repurchases will be made at our discretion, taking into account a number of factors, including market conditions.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00949a80dd2a484ebedc9e0f9998be34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Common Stock Repurchases</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We did not repurchase any shares of our common stock during year-to-date 2026.</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Under the authority of our Board of Directors, we repurchased shares of our common stock under the following repurchase programs during year-to-date 2025:</w:t>
      </w:r>
    </w:p>
    <w:tbl>
      <w:tblPr>
        <w:tblW w:w="7931" w:type="dxa"/>
        <w:jc w:val="left"/>
        <w:tblInd w:w="0" w:type="dxa"/>
        <w:tblLayout w:type="fixed"/>
        <w:tblCellMar>
          <w:top w:w="28" w:type="dxa"/>
          <w:left w:w="28" w:type="dxa"/>
          <w:bottom w:w="28" w:type="dxa"/>
          <w:right w:w="28" w:type="dxa"/>
        </w:tblCellMar>
      </w:tblPr>
      <w:tblGrid>
        <w:gridCol w:w="440"/>
        <w:gridCol w:w="387"/>
        <w:gridCol w:w="388"/>
        <w:gridCol w:w="109"/>
        <w:gridCol w:w="109"/>
        <w:gridCol w:w="109"/>
        <w:gridCol w:w="257"/>
        <w:gridCol w:w="569"/>
        <w:gridCol w:w="134"/>
        <w:gridCol w:w="109"/>
        <w:gridCol w:w="109"/>
        <w:gridCol w:w="109"/>
        <w:gridCol w:w="109"/>
        <w:gridCol w:w="109"/>
        <w:gridCol w:w="374"/>
        <w:gridCol w:w="374"/>
        <w:gridCol w:w="376"/>
        <w:gridCol w:w="109"/>
        <w:gridCol w:w="109"/>
        <w:gridCol w:w="109"/>
        <w:gridCol w:w="109"/>
        <w:gridCol w:w="109"/>
        <w:gridCol w:w="278"/>
        <w:gridCol w:w="614"/>
        <w:gridCol w:w="144"/>
        <w:gridCol w:w="109"/>
        <w:gridCol w:w="109"/>
        <w:gridCol w:w="109"/>
        <w:gridCol w:w="109"/>
        <w:gridCol w:w="109"/>
        <w:gridCol w:w="351"/>
        <w:gridCol w:w="1027"/>
        <w:gridCol w:w="256"/>
      </w:tblGrid>
      <w:tr>
        <w:trPr/>
        <w:tc>
          <w:tcPr>
            <w:tcW w:w="440"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121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Repurchase</w:t>
              <w:br/>
              <w:t> Program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br/>
              <w:t>Authorized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br/>
              <w:t>Repurchased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br/>
              <w:t>Repurchased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Stock Price</w:t>
            </w:r>
          </w:p>
        </w:tc>
      </w:tr>
      <w:tr>
        <w:trPr/>
        <w:tc>
          <w:tcPr>
            <w:tcW w:w="121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2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January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January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8,008 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8,468 </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 xml:space="preserve">On February 27, 2025, we cancelled the remaining $121 million authorization available under the January 2024 Program and began repurchasing shares under the January 2025 Program. The January 2025 Program had $117 million of remaining authority as of August 1, 2026. </w:t>
      </w:r>
    </w:p>
    <w:p>
      <w:pPr>
        <w:pStyle w:val="TextBody"/>
        <w:bidi w:val="0"/>
        <w:spacing w:lineRule="auto" w:line="288" w:before="60" w:after="60"/>
        <w:jc w:val="left"/>
        <w:rPr>
          <w:rFonts w:ascii="Times New Roman;serif" w:hAnsi="Times New Roman;serif"/>
          <w:b/>
          <w:color w:val="000000"/>
          <w:sz w:val="20"/>
        </w:rPr>
      </w:pPr>
      <w:r>
        <w:rPr>
          <w:rFonts w:ascii="Times New Roman;serif" w:hAnsi="Times New Roman;serif"/>
          <w:b/>
          <w:color w:val="000000"/>
          <w:sz w:val="20"/>
        </w:rPr>
        <w:t>Dividend Policy and Procedures</w:t>
      </w:r>
    </w:p>
    <w:p>
      <w:pPr>
        <w:pStyle w:val="TextBody"/>
        <w:bidi w:val="0"/>
        <w:spacing w:lineRule="auto" w:line="288" w:before="60" w:after="60"/>
        <w:jc w:val="left"/>
        <w:rPr>
          <w:rFonts w:ascii="Times New Roman;serif" w:hAnsi="Times New Roman;serif"/>
          <w:b w:val="false"/>
          <w:color w:val="000000"/>
          <w:sz w:val="20"/>
        </w:rPr>
      </w:pPr>
      <w:r>
        <w:rPr>
          <w:rFonts w:ascii="Times New Roman;serif" w:hAnsi="Times New Roman;serif"/>
          <w:b w:val="false"/>
          <w:color w:val="000000"/>
          <w:sz w:val="20"/>
        </w:rPr>
        <w:t>Our Board will determine future dividends after giving consideration to our levels of profit and cash flow, capital requirements, current and forecasted liquidity, the restrictions placed upon us by our borrowing arrangements as well as financial and other conditions existing at the time. We use cash flow generated from operating and financing activities to fund our dividends.</w:t>
      </w:r>
    </w:p>
    <w:p>
      <w:pPr>
        <w:pStyle w:val="TextBody"/>
        <w:bidi w:val="0"/>
        <w:spacing w:lineRule="auto" w:line="288" w:before="60" w:after="60"/>
        <w:jc w:val="left"/>
        <w:rPr>
          <w:rFonts w:ascii="Times New Roman;serif" w:hAnsi="Times New Roman;serif"/>
          <w:b w:val="false"/>
          <w:color w:val="000000"/>
          <w:sz w:val="20"/>
        </w:rPr>
      </w:pPr>
      <w:r>
        <w:rPr>
          <w:rFonts w:ascii="Times New Roman;serif" w:hAnsi="Times New Roman;serif"/>
          <w:b w:val="false"/>
          <w:color w:val="000000"/>
          <w:sz w:val="20"/>
        </w:rPr>
        <w:t>We paid the following dividends during the first and second quarters of 2026 and 2025:</w:t>
      </w:r>
    </w:p>
    <w:tbl>
      <w:tblPr>
        <w:tblW w:w="4240" w:type="dxa"/>
        <w:jc w:val="left"/>
        <w:tblInd w:w="0" w:type="dxa"/>
        <w:tblLayout w:type="fixed"/>
        <w:tblCellMar>
          <w:top w:w="28" w:type="dxa"/>
          <w:left w:w="28" w:type="dxa"/>
          <w:bottom w:w="28" w:type="dxa"/>
          <w:right w:w="28" w:type="dxa"/>
        </w:tblCellMar>
      </w:tblPr>
      <w:tblGrid>
        <w:gridCol w:w="494"/>
        <w:gridCol w:w="433"/>
        <w:gridCol w:w="437"/>
        <w:gridCol w:w="392"/>
        <w:gridCol w:w="950"/>
        <w:gridCol w:w="202"/>
        <w:gridCol w:w="109"/>
        <w:gridCol w:w="109"/>
        <w:gridCol w:w="109"/>
        <w:gridCol w:w="292"/>
        <w:gridCol w:w="500"/>
        <w:gridCol w:w="213"/>
      </w:tblGrid>
      <w:tr>
        <w:trPr/>
        <w:tc>
          <w:tcPr>
            <w:tcW w:w="494"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Ordinary Dividends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Paid</w:t>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 share)</w:t>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2026</w:t>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 Quarter</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Second Quarter</w:t>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r>
      <w:tr>
        <w:trPr/>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0.40 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2025</w:t>
            </w:r>
          </w:p>
        </w:tc>
        <w:tc>
          <w:tcPr>
            <w:tcW w:w="15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 Quarter</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Second Quarter</w:t>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r>
      <w:tr>
        <w:trPr/>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0.40 </w:t>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jc w:val="left"/>
        <w:rPr>
          <w:rFonts w:ascii="Times New Roman;serif" w:hAnsi="Times New Roman;serif"/>
          <w:b w:val="false"/>
          <w:color w:val="000000"/>
          <w:sz w:val="20"/>
        </w:rPr>
      </w:pPr>
      <w:r>
        <w:rPr>
          <w:rFonts w:ascii="Times New Roman;serif" w:hAnsi="Times New Roman;serif"/>
          <w:b w:val="false"/>
          <w:color w:val="000000"/>
          <w:sz w:val="20"/>
        </w:rPr>
        <w:t>In August 2026, we declared our third quarter 2026 ordinary dividend of $0.20 per share payable on September 4, 2026 to shareholders of record at the close of business on August 21,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00949a80dd2a484ebedc9e0f9998be34_10">
        <w:r>
          <w:rPr>
            <w:rStyle w:val="InternetLink"/>
            <w:rFonts w:ascii="Times New Roman;serif" w:hAnsi="Times New Roman;serif"/>
            <w:b w:val="false"/>
            <w:color w:val="0000FF"/>
            <w:sz w:val="16"/>
            <w:u w:val="single"/>
          </w:rPr>
          <w:t>Table of Contents</w:t>
        </w:r>
      </w:hyperlink>
    </w:p>
    <w:p>
      <w:pPr>
        <w:pStyle w:val="TextBody"/>
        <w:bidi w:val="0"/>
        <w:spacing w:lineRule="auto" w:line="288" w:before="60" w:after="120"/>
        <w:jc w:val="left"/>
        <w:rPr>
          <w:rFonts w:ascii="Times New Roman;serif" w:hAnsi="Times New Roman;serif"/>
          <w:b/>
          <w:color w:val="000000"/>
          <w:sz w:val="20"/>
        </w:rPr>
      </w:pPr>
      <w:r>
        <w:rPr>
          <w:rFonts w:ascii="Times New Roman;serif" w:hAnsi="Times New Roman;serif"/>
          <w:b/>
          <w:color w:val="000000"/>
          <w:sz w:val="20"/>
        </w:rPr>
        <w:t>Long-term Debt and Borrowing Facility</w:t>
      </w:r>
    </w:p>
    <w:p>
      <w:pPr>
        <w:pStyle w:val="TextBody"/>
        <w:bidi w:val="0"/>
        <w:spacing w:lineRule="auto" w:line="288" w:before="6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our outstanding debt balances, net of unamortized debt issuance costs and discounts, as of August 1, 2026, January 31, 2026 and August 2, 2025:</w:t>
      </w:r>
    </w:p>
    <w:tbl>
      <w:tblPr>
        <w:tblW w:w="10205" w:type="dxa"/>
        <w:jc w:val="left"/>
        <w:tblInd w:w="0" w:type="dxa"/>
        <w:tblLayout w:type="fixed"/>
        <w:tblCellMar>
          <w:top w:w="28" w:type="dxa"/>
          <w:left w:w="28" w:type="dxa"/>
          <w:bottom w:w="28" w:type="dxa"/>
          <w:right w:w="28" w:type="dxa"/>
        </w:tblCellMar>
      </w:tblPr>
      <w:tblGrid>
        <w:gridCol w:w="2406"/>
        <w:gridCol w:w="2116"/>
        <w:gridCol w:w="2124"/>
        <w:gridCol w:w="211"/>
        <w:gridCol w:w="616"/>
        <w:gridCol w:w="109"/>
        <w:gridCol w:w="109"/>
        <w:gridCol w:w="109"/>
        <w:gridCol w:w="109"/>
        <w:gridCol w:w="222"/>
        <w:gridCol w:w="649"/>
        <w:gridCol w:w="114"/>
        <w:gridCol w:w="109"/>
        <w:gridCol w:w="109"/>
        <w:gridCol w:w="109"/>
        <w:gridCol w:w="211"/>
        <w:gridCol w:w="616"/>
        <w:gridCol w:w="157"/>
      </w:tblGrid>
      <w:tr>
        <w:trPr/>
        <w:tc>
          <w:tcPr>
            <w:tcW w:w="2406"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January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2,</w:t>
              <w:br/>
              <w:t>2025</w:t>
            </w:r>
          </w:p>
        </w:tc>
      </w:tr>
      <w:tr>
        <w:trPr/>
        <w:tc>
          <w:tcPr>
            <w:tcW w:w="6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9"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6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Senior Debt with Subsidiary Guarantee</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66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$297 million, 6.694% Fixed Interest Rate Notes due January 2027 (“2027 Notes”)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$444 million, 5.250% Fixed Interest Rate Notes due February 2028 (“2028 Notes”)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$482 million, 7.500% Fixed Interest Rate Notes due June 2029 (“2029 Notes”)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$844 million, 6.625% Fixed Interest Rate Notes due October 2030 (“2030 Notes”)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$802 million, 6.875% Fixed Interest Rate Notes due November 2035 (“2035 Notes”)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$575 million, 6.750% Fixed Interest Rate Notes due July 2036 (“2036 Notes”)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Senior Debt with Subsidiary Guarantee</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3,408 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3,405 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Senior Debt</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$284 million, 6.950% Fixed Interest Rate Debentures due March 2033 (“2033 Notes”)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$201 million, 7.600% Fixed Interest Rate Notes due July 2037 (“2037 Notes”)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Senior Debt</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Debt</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Debt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Long-term Debt, Net of Current Portion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3,612 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3,888 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100"/>
        <w:jc w:val="left"/>
        <w:rPr>
          <w:rFonts w:ascii="Times New Roman;serif" w:hAnsi="Times New Roman;serif"/>
          <w:b w:val="false"/>
          <w:color w:val="000000"/>
          <w:sz w:val="20"/>
        </w:rPr>
      </w:pPr>
      <w:r>
        <w:rPr>
          <w:rFonts w:ascii="Times New Roman;serif" w:hAnsi="Times New Roman;serif"/>
          <w:b w:val="false"/>
          <w:color w:val="000000"/>
          <w:sz w:val="20"/>
        </w:rPr>
        <w:t>Cash paid for interest was $127 million and $143 million for year-to-date 2026 and 2025, respectively.</w:t>
      </w:r>
    </w:p>
    <w:p>
      <w:pPr>
        <w:pStyle w:val="TextBody"/>
        <w:bidi w:val="0"/>
        <w:spacing w:lineRule="auto" w:line="288" w:before="100" w:after="100"/>
        <w:jc w:val="left"/>
        <w:rPr>
          <w:rFonts w:ascii="Times New Roman;serif" w:hAnsi="Times New Roman;serif"/>
          <w:b/>
          <w:i/>
          <w:color w:val="000000"/>
          <w:sz w:val="20"/>
        </w:rPr>
      </w:pPr>
      <w:r>
        <w:rPr>
          <w:rFonts w:ascii="Times New Roman;serif" w:hAnsi="Times New Roman;serif"/>
          <w:b/>
          <w:i/>
          <w:color w:val="000000"/>
          <w:sz w:val="20"/>
        </w:rPr>
        <w:t>Repurchases of Notes</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During the first quarter of 2026, we completed a make-whole call to repurchase the remaining $284 million principal amount of our outstanding 2027 Notes. The repurchase price for these notes was $289 million, resulting in a pre-tax loss of $8 million, net of the write-off of unamortized discounts and issuance costs. This loss is included in Other Income, Net in the year-to-date 2026 Consolidated Statement of Income.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On July 20, 2026, we issued a notice of partial redemption for $250 million aggregate principal amount of our 7.500% Senior Notes due June 2029. Subsequent to August 1, 2026, we completed the partial redemption for an aggregate repurchase price of $253 million and recognized a pre-tax loss of $5 million.</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We did not repurchase any outstanding senior notes during year-to-date 2025.</w:t>
      </w:r>
    </w:p>
    <w:p>
      <w:pPr>
        <w:pStyle w:val="TextBody"/>
        <w:bidi w:val="0"/>
        <w:spacing w:lineRule="auto" w:line="288" w:before="100" w:after="120"/>
        <w:jc w:val="left"/>
        <w:rPr>
          <w:rFonts w:ascii="Times New Roman;serif" w:hAnsi="Times New Roman;serif"/>
          <w:b/>
          <w:i/>
          <w:color w:val="000000"/>
          <w:sz w:val="20"/>
        </w:rPr>
      </w:pPr>
      <w:r>
        <w:rPr>
          <w:rFonts w:ascii="Times New Roman;serif" w:hAnsi="Times New Roman;serif"/>
          <w:b/>
          <w:i/>
          <w:color w:val="000000"/>
          <w:sz w:val="20"/>
        </w:rPr>
        <w:t>Asset-backed Revolving Credit Facility</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We and certain of our 100% owned subsidiaries guarantee and pledge collateral to secure the ABL Facility. The ABL Facility, which allows borrowings and letters of credit in U.S. and Canadian dollars, has aggregate commitments of $750 million and an expiration date in May 2030.</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Availability under the ABL Facility is the lesser of (i) the borrowing base, determined primarily based on our eligible U.S. and Canadian credit card receivables, accounts receivable, inventory and eligible real property, or (ii) the aggregate commitment. If at any time the outstanding amount under the ABL Facility exceeds the lesser of (i) the borrowing base and (ii) the aggregate commitment, we are required to repay the outstanding amounts under the ABL Facility to the extent of such excess. As of August 1, 2026, our borrowing base was $632 million, and we had no borrowings outstanding under the ABL Facility.</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The ABL Facility supports our letter of credit program. We had $9 million of outstanding letters of credit as of August 1, 2026 that reduced our availability under the ABL Facility. As of August 1, 2026, our availability under the ABL Facility was $623 million.</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As of August 1, 2026, the ABL Facility fees related to committed and unutilized amounts were 0.30% per annum, and the fees related to outstanding letters of credit were 1.25% per annum. In addition, the interest rate on outstanding U.S. dollar borrowings was the Term Secured Overnight Financing Rate plus 1.25% per annum. The interest rate on outstanding Canadian dollar-denominated borrowings was the Canadian Overnight Repo Rate Average plus 1.25% per annum.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00949a80dd2a484ebedc9e0f9998be34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The ABL Facility requires us to maintain a fixed charge coverage ratio of not less than 1.00 to 1.00 during an event of default or any period commencing on any day when specified excess availability is less than the greater of (i) $70 million or (ii) 10% of the maximum borrowing amount. As of August 1, 2026, we were not required to maintain this ratio.</w:t>
      </w: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Credit Ratings</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our credit ratings as of August 1, 2026:</w:t>
      </w:r>
    </w:p>
    <w:tbl>
      <w:tblPr>
        <w:tblW w:w="5893" w:type="dxa"/>
        <w:jc w:val="left"/>
        <w:tblInd w:w="0" w:type="dxa"/>
        <w:tblLayout w:type="fixed"/>
        <w:tblCellMar>
          <w:top w:w="28" w:type="dxa"/>
          <w:left w:w="28" w:type="dxa"/>
          <w:bottom w:w="28" w:type="dxa"/>
          <w:right w:w="28" w:type="dxa"/>
        </w:tblCellMar>
      </w:tblPr>
      <w:tblGrid>
        <w:gridCol w:w="1506"/>
        <w:gridCol w:w="1325"/>
        <w:gridCol w:w="1338"/>
        <w:gridCol w:w="245"/>
        <w:gridCol w:w="245"/>
        <w:gridCol w:w="246"/>
        <w:gridCol w:w="109"/>
        <w:gridCol w:w="109"/>
        <w:gridCol w:w="109"/>
        <w:gridCol w:w="219"/>
        <w:gridCol w:w="196"/>
        <w:gridCol w:w="246"/>
      </w:tblGrid>
      <w:tr>
        <w:trPr/>
        <w:tc>
          <w:tcPr>
            <w:tcW w:w="1506"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Moody’s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S&amp;P</w:t>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7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Ba2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BB+</w:t>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Unsecured Debt with Subsidiary Guarantee</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Ba2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BB+</w:t>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Unsecured Debt</w:t>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BB-</w:t>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Outlook</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Stable</w:t>
            </w:r>
          </w:p>
        </w:tc>
      </w:tr>
    </w:tbl>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Guarantor Summarized Financial Information</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Certain of our subsidiaries, which are listed on Exhibit 22 to this Quarterly Report on Form 10-Q, have guaranteed our obligations under the 2028 Notes, 2029 Notes, 2030 Notes, 2035 Notes and 2036 Notes (collectively, the “Notes”).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Notes have been issued by Bath &amp; Body Works, Inc. (the “Parent Company”). The Notes are its senior unsecured obligations and rank equally in right of payment with all of our existing and future senior unsecured obligations, are senior to any of our future subordinated indebtedness, are effectively subordinated to all of our existing and future indebtedness that is secured by a lien and are structurally subordinated to all existing and future obligations of each of our subsidiaries that do not guarantee the Notes.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Notes are fully and unconditionally guaranteed on a joint and several basis by certain of our wholly-owned subsidiaries, including certain subsidiaries that also guarantee our obligations under our ABL Facility (such guarantees, the “Guarantees”; and, such guaranteeing subsidiaries, the “Subsidiary Guarantors”). The Guarantees of the Subsidiary Guarantors are subject to release in limited circumstances only upon the occurrence of certain customary conditions. Each Guarantee is limited, by its terms, to an amount not to exceed the maximum amount that can be guaranteed by the applicable Subsidiary Guarantor subject to avoidance under applicable fraudulent conveyance provisions of U.S. and non-U.S. law.</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tables set forth summarized financial information for the Parent Company and the Subsidiary Guarantors on a combined basis after elimination of (i) intercompany transactions and balances among the Parent Company and the Subsidiary Guarantors and (ii) investments in and equity in the earnings of non-Guarantor subsidiaries.</w:t>
      </w:r>
    </w:p>
    <w:tbl>
      <w:tblPr>
        <w:tblW w:w="5567" w:type="dxa"/>
        <w:jc w:val="center"/>
        <w:tblInd w:w="0" w:type="dxa"/>
        <w:tblLayout w:type="fixed"/>
        <w:tblCellMar>
          <w:top w:w="28" w:type="dxa"/>
          <w:left w:w="28" w:type="dxa"/>
          <w:bottom w:w="28" w:type="dxa"/>
          <w:right w:w="28" w:type="dxa"/>
        </w:tblCellMar>
      </w:tblPr>
      <w:tblGrid>
        <w:gridCol w:w="1185"/>
        <w:gridCol w:w="1040"/>
        <w:gridCol w:w="1045"/>
        <w:gridCol w:w="211"/>
        <w:gridCol w:w="616"/>
        <w:gridCol w:w="109"/>
        <w:gridCol w:w="109"/>
        <w:gridCol w:w="109"/>
        <w:gridCol w:w="109"/>
        <w:gridCol w:w="222"/>
        <w:gridCol w:w="650"/>
        <w:gridCol w:w="162"/>
      </w:tblGrid>
      <w:tr>
        <w:trPr/>
        <w:tc>
          <w:tcPr>
            <w:tcW w:w="1185"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SUMMARIZED BALANCE SHEETS</w:t>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January 31,</w:t>
              <w:br/>
              <w:t>2026</w:t>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 (a)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 (b)</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color w:val="000000"/>
        </w:rPr>
      </w:pPr>
      <w:r>
        <w:rPr>
          <w:color w:val="000000"/>
        </w:rPr>
        <w:t> </w:t>
      </w:r>
      <w:r>
        <w:rPr>
          <w:rFonts w:ascii="Times New Roman;serif" w:hAnsi="Times New Roman;serif"/>
          <w:b w:val="false"/>
          <w:color w:val="000000"/>
          <w:sz w:val="20"/>
        </w:rPr>
        <w:t>_______________</w:t>
      </w:r>
    </w:p>
    <w:p>
      <w:pPr>
        <w:pStyle w:val="TextBody"/>
        <w:bidi w:val="0"/>
        <w:spacing w:lineRule="auto" w:line="288" w:before="0" w:after="6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(a)Includes amounts due from non-Guarantor subsidiaries of $711 million and $596 million as of August 1, 2026 and January 31, 2026, respectively.</w:t>
      </w:r>
    </w:p>
    <w:p>
      <w:pPr>
        <w:pStyle w:val="TextBody"/>
        <w:bidi w:val="0"/>
        <w:spacing w:lineRule="auto" w:line="288" w:before="0" w:after="6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(b)Includes amounts due to non-Guarantor subsidiaries of $1,469 million and $1,501 million as of August 1, 2026 and January 31, 2026, respectively.</w:t>
      </w:r>
    </w:p>
    <w:p>
      <w:pPr>
        <w:pStyle w:val="TextBody"/>
        <w:bidi w:val="0"/>
        <w:spacing w:before="0" w:after="60"/>
        <w:ind w:left="0" w:right="0" w:hanging="360"/>
        <w:jc w:val="left"/>
        <w:rPr/>
      </w:pPr>
      <w:r>
        <w:rPr/>
      </w:r>
    </w:p>
    <w:p>
      <w:pPr>
        <w:pStyle w:val="TextBody"/>
        <w:bidi w:val="0"/>
        <w:spacing w:before="0" w:after="60"/>
        <w:ind w:left="0" w:right="0" w:hanging="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00949a80dd2a484ebedc9e0f9998be34_10">
        <w:r>
          <w:rPr>
            <w:rStyle w:val="InternetLink"/>
            <w:rFonts w:ascii="Times New Roman;serif" w:hAnsi="Times New Roman;serif"/>
            <w:b w:val="false"/>
            <w:color w:val="0000FF"/>
            <w:sz w:val="16"/>
            <w:u w:val="single"/>
          </w:rPr>
          <w:t>Table of Contents</w:t>
        </w:r>
      </w:hyperlink>
    </w:p>
    <w:tbl>
      <w:tblPr>
        <w:tblW w:w="7132" w:type="dxa"/>
        <w:jc w:val="center"/>
        <w:tblInd w:w="0" w:type="dxa"/>
        <w:tblLayout w:type="fixed"/>
        <w:tblCellMar>
          <w:top w:w="28" w:type="dxa"/>
          <w:left w:w="28" w:type="dxa"/>
          <w:bottom w:w="28" w:type="dxa"/>
          <w:right w:w="28" w:type="dxa"/>
        </w:tblCellMar>
      </w:tblPr>
      <w:tblGrid>
        <w:gridCol w:w="2142"/>
        <w:gridCol w:w="1880"/>
        <w:gridCol w:w="1888"/>
        <w:gridCol w:w="109"/>
        <w:gridCol w:w="109"/>
        <w:gridCol w:w="216"/>
        <w:gridCol w:w="631"/>
        <w:gridCol w:w="157"/>
      </w:tblGrid>
      <w:tr>
        <w:trPr/>
        <w:tc>
          <w:tcPr>
            <w:tcW w:w="2142"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c>
          <w:tcPr>
            <w:tcW w:w="18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YEAR-TO-DATE 2026 SUMMARIZED STATEMENT OF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 (a)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color w:val="000000"/>
        </w:rPr>
      </w:pPr>
      <w:r>
        <w:rPr>
          <w:color w:val="000000"/>
        </w:rPr>
        <w:t> </w:t>
      </w:r>
      <w:r>
        <w:rPr>
          <w:rFonts w:ascii="Times New Roman;serif" w:hAnsi="Times New Roman;serif"/>
          <w:b w:val="false"/>
          <w:color w:val="000000"/>
          <w:sz w:val="20"/>
        </w:rPr>
        <w:t>_______________</w:t>
      </w:r>
    </w:p>
    <w:p>
      <w:pPr>
        <w:pStyle w:val="TextBody"/>
        <w:bidi w:val="0"/>
        <w:spacing w:lineRule="auto" w:line="288" w:before="0" w:after="6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(a)Includes Net Sales of $73 million to non-Guarantor subsidiaries.</w:t>
      </w:r>
    </w:p>
    <w:p>
      <w:pPr>
        <w:pStyle w:val="TextBody"/>
        <w:bidi w:val="0"/>
        <w:spacing w:lineRule="auto" w:line="288" w:before="0" w:after="6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(b)Includes Net Gain of $9 million related to transactions with non-Guarantor Subsidiaries.</w:t>
      </w:r>
    </w:p>
    <w:p>
      <w:pPr>
        <w:pStyle w:val="TextBody"/>
        <w:bidi w:val="0"/>
        <w:spacing w:lineRule="auto" w:line="288" w:before="120" w:after="100"/>
        <w:jc w:val="left"/>
        <w:rPr>
          <w:rFonts w:ascii="Times New Roman;serif" w:hAnsi="Times New Roman;serif"/>
          <w:b/>
          <w:color w:val="000000"/>
          <w:sz w:val="20"/>
        </w:rPr>
      </w:pPr>
      <w:r>
        <w:rPr>
          <w:rFonts w:ascii="Times New Roman;serif" w:hAnsi="Times New Roman;serif"/>
          <w:b/>
          <w:color w:val="000000"/>
          <w:sz w:val="20"/>
        </w:rPr>
        <w:t>Contingent Liabilities and Contractual Obligations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Lease Guarantees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 connection with the spin-off of Victoria’s Secret &amp; Co., we had remaining contingent obligations of $205 million as of August 1, 2026 related to lease payments under the current terms of noncancelable leases, primarily related to office space, expiring at various dates through 2037. These obligations include minimum rent and additional payments covering taxes, common area costs and certain other expenses and relate to leases that commenced prior to the spin-off. Our reserves related to these obligations were not significant for any period presented.</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Contractual Obligations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Our contractual obligations primarily consist of long-term debt and the related interest payments, operating leases, purchase orders for merchandise inventory and other long-term obligations. These contractual obligations impact our short-term and long-term liquidity and capital resource needs. As of August 1, 2026, there have been no material changes in our contractual obligations as discussed in “Contingent Liabilities and Contractual Obligations” in our 2025 Annual Report on Form 10-K, other than our repayment and extinguishment of our 2027 Notes in the first quarter of 2026. Certain of our contractual obligations may fluctuate during the normal course of business (primarily changes in our merchandise inventory-related purchase obligations which fluctuate throughout the year as a result of the seasonal nature of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RECENTLY ISSUED ACCOUNTING PRONOUNCEMENTS</w:t>
      </w:r>
    </w:p>
    <w:p>
      <w:pPr>
        <w:pStyle w:val="TextBody"/>
        <w:bidi w:val="0"/>
        <w:spacing w:lineRule="auto" w:line="288" w:before="0" w:after="120"/>
        <w:jc w:val="left"/>
        <w:rPr/>
      </w:pPr>
      <w:r>
        <w:rPr>
          <w:rFonts w:ascii="Times New Roman;serif" w:hAnsi="Times New Roman;serif"/>
          <w:b w:val="false"/>
          <w:color w:val="000000"/>
          <w:sz w:val="20"/>
        </w:rPr>
        <w:t xml:space="preserve">In November 2024, the Financial Accounting Standards Board issued Accounting Standards Update 2024-03, </w:t>
      </w:r>
      <w:r>
        <w:rPr>
          <w:rFonts w:ascii="Times New Roman;serif" w:hAnsi="Times New Roman;serif"/>
          <w:b w:val="false"/>
          <w:i/>
          <w:color w:val="000000"/>
          <w:sz w:val="20"/>
        </w:rPr>
        <w:t>Disaggregation of Income Statement Expenses</w:t>
      </w:r>
      <w:r>
        <w:rPr>
          <w:rFonts w:ascii="Times New Roman;serif" w:hAnsi="Times New Roman;serif"/>
          <w:b w:val="false"/>
          <w:color w:val="000000"/>
          <w:sz w:val="20"/>
        </w:rPr>
        <w:t>, which requires disclosures of disaggregated information about certain prescribed expense categories within relevant income statement expense captions. This standard is effective for annual reporting of fiscal years beginning after December 15, 2026, and for interim periods in the following year, with early adoption permitted. This standard should be applied prospectively, with retrospective application permitted. We are currently evaluating the impact of adopting this standard on our disclosures.</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GAAP requires management to adopt accounting policies related to estimates and assumptions that affect the reported amounts of assets and liabilities at the date of the financial statements and the reported amounts of revenues and expenses during the reporting period, as well as the related disclosure of contingent assets and liabilities at the date of the financial statements. On an ongoing basis, management evaluates its accounting policies, estimates and judgments, including those related to inventories, valuation of long-lived store assets, claims and contingencies, income taxes and revenue recognition, including revenue associated with our loyalty program. Management bases our estimates and judgments on historical experience and various other factors that we believe are reasonable under the circumstances. Actual results may differ from these estimates.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to the critical accounting policies and estimates disclosed in our 2025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144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Market Risk</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market risk inherent in our financial instruments represents the potential loss in fair value, earnings or cash flows arising from adverse changes in foreign currency exchange rates or interest rates. We may use derivative financial instruments like foreign currency forward contracts, cross-currency swaps and interest rate swap arrangements to manage exposure to market risks. We do not use derivative financial instruments for trading purposes.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00949a80dd2a484ebedc9e0f9998be34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Foreign Exchange Rate Risk</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Our Canadian dollar denominated earnings are subject to exchange rate risk as substantially all our merchandise sold in Canada is sourced through U.S. dollar transactions. Although we utilize foreign currency forward contracts to partially offset risks associated with our operations in Canada, these measures may not succeed in offsetting all the short-term impact of foreign currency rate movements and generally may not be effective in offsetting the long-term impact of sustained shifts in foreign currency rates.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Further, although our royalty arrangements with our international partners are denominated in U.S. dollars, the royalties we receive in U.S. dollars are calculated based on sales in the local currency. As a result, our royalties in these arrangements are exposed to foreign currency exchange rate fluctuations.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Our investment portfolio primarily consists of interest-bearing instruments that are classified as cash and cash equivalents based on their original maturities. Our investment portfolio is maintained in accordance with our investment policy, which specifies permitted types of investments, specifies credit quality standards and maturity profiles and limits credit exposure to any single issuer. The primary objectives of our investment activities are the preservation of principal, the maintenance of liquidity and the maximization of interest income while minimizing risk. Our investment portfolio is primarily composed of U.S. government obligations, U.S. Treasury and AAA-rated money market funds, commercial paper and bank deposits. Given the short-term nature and quality of investments in our portfolio, we do not believe there is any material risk to principal associated with increases or decreases in interest rates.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All of our outstanding debt as of August 1, 2026 has fixed interest rates. We will from time to time adjust our exposure to interest rate risk by entering into interest rate swap arrangements. Our exposure to interest rate changes is limited to the fair value of the debt issued, which would not have a material impact on our earnings or cash flows.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Concentration of Credit Risk</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We maintain cash and cash equivalents and derivative contracts with various major financial institutions. We monitor the relative credit standing of financial institutions with whom we transact and limit the amount of credit exposure with any one entity. Our investment portfolio is primarily composed of U.S. government obligations, U.S. Treasury and AAA-rated money market funds, commercial paper and bank deposits. We also periodically review the relative credit standing of franchise, license and wholesale partners and other entities to which we grant credit terms in the normal course of business.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Fair Value Measurements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summary of the principal value and estimated fair value of our outstanding debt as of August 1, 2026, January 31, 2026 and August 2, 2025:</w:t>
      </w:r>
    </w:p>
    <w:tbl>
      <w:tblPr>
        <w:tblW w:w="5675" w:type="dxa"/>
        <w:jc w:val="left"/>
        <w:tblInd w:w="0" w:type="dxa"/>
        <w:tblLayout w:type="fixed"/>
        <w:tblCellMar>
          <w:top w:w="28" w:type="dxa"/>
          <w:left w:w="28" w:type="dxa"/>
          <w:bottom w:w="28" w:type="dxa"/>
          <w:right w:w="28" w:type="dxa"/>
        </w:tblCellMar>
      </w:tblPr>
      <w:tblGrid>
        <w:gridCol w:w="766"/>
        <w:gridCol w:w="671"/>
        <w:gridCol w:w="677"/>
        <w:gridCol w:w="211"/>
        <w:gridCol w:w="616"/>
        <w:gridCol w:w="109"/>
        <w:gridCol w:w="109"/>
        <w:gridCol w:w="109"/>
        <w:gridCol w:w="109"/>
        <w:gridCol w:w="223"/>
        <w:gridCol w:w="652"/>
        <w:gridCol w:w="115"/>
        <w:gridCol w:w="109"/>
        <w:gridCol w:w="109"/>
        <w:gridCol w:w="109"/>
        <w:gridCol w:w="211"/>
        <w:gridCol w:w="616"/>
        <w:gridCol w:w="154"/>
      </w:tblGrid>
      <w:tr>
        <w:trPr/>
        <w:tc>
          <w:tcPr>
            <w:tcW w:w="76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January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2,</w:t>
              <w:br/>
              <w:t>2025</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1"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Value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Estimated (a)</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color w:val="000000"/>
        </w:rPr>
      </w:pPr>
      <w:r>
        <w:rPr>
          <w:color w:val="000000"/>
        </w:rPr>
        <w:t> </w:t>
      </w:r>
      <w:r>
        <w:rPr>
          <w:rFonts w:ascii="Times New Roman;serif" w:hAnsi="Times New Roman;serif"/>
          <w:b w:val="false"/>
          <w:color w:val="000000"/>
          <w:sz w:val="20"/>
        </w:rPr>
        <w:t>_______________</w:t>
      </w:r>
    </w:p>
    <w:p>
      <w:pPr>
        <w:pStyle w:val="TextBody"/>
        <w:bidi w:val="0"/>
        <w:spacing w:lineRule="auto" w:line="288" w:before="0" w:after="6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    The estimated fair values are based on reported transaction prices and are not necessarily indicative of the amounts that we could realize in a current market exchange.</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We believe that the carrying values of our Accounts Receivable, Accounts Payable and Accrued Expenses approximate their fair values as of August 1, 2026 because of their short maturities.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144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60"/>
        <w:jc w:val="left"/>
        <w:rPr/>
      </w:pPr>
      <w:r>
        <w:rPr>
          <w:rFonts w:ascii="Times New Roman;serif" w:hAnsi="Times New Roman;serif"/>
          <w:b w:val="false"/>
          <w:i/>
          <w:color w:val="000000"/>
          <w:sz w:val="20"/>
        </w:rPr>
        <w:t xml:space="preserve">Evaluation of disclosure controls and procedures. </w:t>
      </w:r>
      <w:r>
        <w:rPr>
          <w:rFonts w:ascii="Times New Roman;serif" w:hAnsi="Times New Roman;serif"/>
          <w:b w:val="false"/>
          <w:color w:val="000000"/>
          <w:sz w:val="20"/>
        </w:rPr>
        <w:t>As of the end of the period covered by this report, we carried out an evaluation, under the supervision and with the participation of our management, including our Chief Executive Officer and Interim Chief Financial Officer, of the effectiveness of the design and operation of our disclosure controls and procedures, as such term is defined in Rules 13a-15(e) and 15d-15(e) of the Securities Exchange Act of 1934, as amended (the “Exchange Act”). Based upon that evaluation, our Chief Executive Officer and Interim Chief Financial Officer concluded that as of the end of the period covered by this report, our disclosure controls and procedures were effective and designed to ensure that information required to be disclosed by us in reports we file or submit under the Exchange Act is (1) recorded, processed, summarized and reported within the time periods specified in Securities and Exchange Commission (“SEC”) rules and forms, and (2) accumulated and communicated to our management, including our Chief Executive Officer and Interim Chief Financial Officer, to allow timely decisions regarding required disclosure.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00949a80dd2a484ebedc9e0f9998be34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60"/>
        <w:jc w:val="left"/>
        <w:rPr/>
      </w:pPr>
      <w:r>
        <w:rPr>
          <w:rFonts w:ascii="Times New Roman;serif" w:hAnsi="Times New Roman;serif"/>
          <w:b w:val="false"/>
          <w:i/>
          <w:color w:val="000000"/>
          <w:sz w:val="20"/>
        </w:rPr>
        <w:t xml:space="preserve">Changes in internal control over financial reporting. </w:t>
      </w:r>
      <w:r>
        <w:rPr>
          <w:rFonts w:ascii="Times New Roman;serif" w:hAnsi="Times New Roman;serif"/>
          <w:b w:val="false"/>
          <w:color w:val="000000"/>
          <w:sz w:val="20"/>
        </w:rPr>
        <w:t>There were no changes in our internal control over financial reporting that occurred in the second quarter of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00949a80dd2a484ebedc9e0f9998be34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144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We are a defendant in a variety of lawsuits arising in the ordinary course of business. Actions filed against the Company from time to time may include commercial, tort, intellectual property, tax, customer, employment, wage and hour, data privacy, securities, anti-corruption and other claims, including putative class action lawsuits. Although it is not possible to predict with certainty the eventual outcome of any litigation, in the opinion of management, our current legal proceedings are not expected to have a material adverse effect on our results of operations, financial condition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144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risk factors that affect our business and financial results are discussed in Item 1A. Risk Factors in our 2025 Annual Report on Form 10-K. We wish to caution the reader that the risk factors discussed in Item 1A. Risk Factors in our 2025 Annual Report on Form 10-K and those described elsewhere in this report or other SEC filings could cause actual results to differ materially from those stated in any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144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the repurchases of our common stock during the second quarter of 2026:</w:t>
      </w:r>
    </w:p>
    <w:tbl>
      <w:tblPr>
        <w:tblW w:w="10205" w:type="dxa"/>
        <w:jc w:val="left"/>
        <w:tblInd w:w="0" w:type="dxa"/>
        <w:tblLayout w:type="fixed"/>
        <w:tblCellMar>
          <w:top w:w="28" w:type="dxa"/>
          <w:left w:w="28" w:type="dxa"/>
          <w:bottom w:w="28" w:type="dxa"/>
          <w:right w:w="28" w:type="dxa"/>
        </w:tblCellMar>
      </w:tblPr>
      <w:tblGrid>
        <w:gridCol w:w="268"/>
        <w:gridCol w:w="236"/>
        <w:gridCol w:w="239"/>
        <w:gridCol w:w="367"/>
        <w:gridCol w:w="357"/>
        <w:gridCol w:w="358"/>
        <w:gridCol w:w="109"/>
        <w:gridCol w:w="109"/>
        <w:gridCol w:w="109"/>
        <w:gridCol w:w="257"/>
        <w:gridCol w:w="750"/>
        <w:gridCol w:w="134"/>
        <w:gridCol w:w="109"/>
        <w:gridCol w:w="109"/>
        <w:gridCol w:w="109"/>
        <w:gridCol w:w="899"/>
        <w:gridCol w:w="899"/>
        <w:gridCol w:w="901"/>
        <w:gridCol w:w="109"/>
        <w:gridCol w:w="109"/>
        <w:gridCol w:w="109"/>
        <w:gridCol w:w="628"/>
        <w:gridCol w:w="2464"/>
        <w:gridCol w:w="467"/>
      </w:tblGrid>
      <w:tr>
        <w:trPr/>
        <w:tc>
          <w:tcPr>
            <w:tcW w:w="26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246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r>
      <w:tr>
        <w:trPr/>
        <w:tc>
          <w:tcPr>
            <w:tcW w:w="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Fiscal Period</w:t>
            </w:r>
          </w:p>
        </w:tc>
        <w:tc>
          <w:tcPr>
            <w:tcW w:w="10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Number of</w:t>
              <w:br/>
              <w:t>Shares</w:t>
              <w:br/>
              <w:t>Purchased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Price</w:t>
              <w:br/>
              <w:t>Paid per</w:t>
              <w:br/>
              <w:t>Share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 Shares Purchased as Part of Publicly Announced Programs (c)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Maximum Number of Shares (or Approximate Dollar Value) that May Yet be Purchased Under the Programs (c)</w:t>
            </w:r>
          </w:p>
        </w:tc>
      </w:tr>
      <w:tr>
        <w:trPr/>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2026</w:t>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117,341 </w:t>
            </w:r>
          </w:p>
        </w:tc>
        <w:tc>
          <w:tcPr>
            <w:tcW w:w="4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2026</w:t>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117,341 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2026</w:t>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117,341 </w:t>
            </w:r>
          </w:p>
        </w:tc>
        <w:tc>
          <w:tcPr>
            <w:tcW w:w="4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72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3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color w:val="000000"/>
        </w:rPr>
      </w:pPr>
      <w:r>
        <w:rPr>
          <w:color w:val="000000"/>
        </w:rPr>
        <w:t> </w:t>
      </w:r>
      <w:r>
        <w:rPr>
          <w:rFonts w:ascii="Times New Roman;serif" w:hAnsi="Times New Roman;serif"/>
          <w:b w:val="false"/>
          <w:color w:val="000000"/>
          <w:sz w:val="20"/>
        </w:rPr>
        <w:t>_______________</w:t>
      </w:r>
    </w:p>
    <w:p>
      <w:pPr>
        <w:pStyle w:val="TextBody"/>
        <w:bidi w:val="0"/>
        <w:spacing w:lineRule="auto" w:line="288" w:before="60" w:after="6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(a)The total number of shares repurchased includes shares repurchased as part of publicly announced programs, with the remainder relating to shares in connection with tax payments due upon vesting of associate restricted share and performance share unit awards and the use of our stock to pay the exercise price on associate stock options.</w:t>
      </w:r>
    </w:p>
    <w:p>
      <w:pPr>
        <w:pStyle w:val="TextBody"/>
        <w:bidi w:val="0"/>
        <w:spacing w:lineRule="auto" w:line="288" w:before="60" w:after="6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(b)The average price paid per share includes any broker commissions.</w:t>
      </w:r>
    </w:p>
    <w:p>
      <w:pPr>
        <w:pStyle w:val="TextBody"/>
        <w:bidi w:val="0"/>
        <w:spacing w:lineRule="auto" w:line="288" w:before="60" w:after="6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(c)For additional share repurchase program information, see Note 3, “Net Income Per Share and Shareholders’ Equity (Deficit)” included in Part I, 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144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0" w:after="120"/>
        <w:ind w:left="0" w:right="0" w:hanging="144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144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144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68" w:before="0" w:after="120"/>
        <w:ind w:left="0" w:right="0" w:hanging="1440"/>
        <w:jc w:val="left"/>
        <w:rPr>
          <w:rFonts w:ascii="Times New Roman;serif" w:hAnsi="Times New Roman;serif"/>
          <w:b/>
          <w:i/>
          <w:color w:val="000000"/>
          <w:sz w:val="20"/>
        </w:rPr>
      </w:pPr>
      <w:r>
        <w:rPr>
          <w:rFonts w:ascii="Times New Roman;serif" w:hAnsi="Times New Roman;serif"/>
          <w:b/>
          <w:i/>
          <w:color w:val="000000"/>
          <w:sz w:val="20"/>
        </w:rPr>
        <w:t>Securities Trading Plans of Directors and Executive Officers</w:t>
      </w:r>
    </w:p>
    <w:p>
      <w:pPr>
        <w:pStyle w:val="TextBody"/>
        <w:bidi w:val="0"/>
        <w:spacing w:lineRule="auto" w:line="288" w:before="0" w:after="120"/>
        <w:jc w:val="left"/>
        <w:rPr/>
      </w:pPr>
      <w:r>
        <w:rPr>
          <w:rFonts w:ascii="Times New Roman;serif" w:hAnsi="Times New Roman;serif"/>
          <w:b w:val="false"/>
          <w:color w:val="000000"/>
          <w:sz w:val="20"/>
        </w:rPr>
        <w:t>None of our directors or executive officers adopted or terminated a “Rule 10b5-1 trading arrangement” or a “non-Rule 10b5-1 trading arrangement” (as such terms are defined in Item 408(c) of Regulation S-K) during the second quarter of 2026.</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00949a80dd2a484ebedc9e0f9998be34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309"/>
        <w:gridCol w:w="271"/>
        <w:gridCol w:w="272"/>
        <w:gridCol w:w="109"/>
        <w:gridCol w:w="109"/>
        <w:gridCol w:w="109"/>
        <w:gridCol w:w="2637"/>
        <w:gridCol w:w="2637"/>
        <w:gridCol w:w="3752"/>
      </w:tblGrid>
      <w:tr>
        <w:trPr/>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7" w:type="dxa"/>
            <w:tcBorders/>
            <w:vAlign w:val="center"/>
          </w:tcPr>
          <w:p>
            <w:pPr>
              <w:pStyle w:val="TableContents"/>
              <w:bidi w:val="0"/>
              <w:spacing w:before="0" w:after="283"/>
              <w:jc w:val="left"/>
              <w:rPr>
                <w:sz w:val="4"/>
                <w:szCs w:val="4"/>
              </w:rPr>
            </w:pPr>
            <w:r>
              <w:rPr>
                <w:sz w:val="4"/>
                <w:szCs w:val="4"/>
              </w:rPr>
            </w:r>
          </w:p>
        </w:tc>
        <w:tc>
          <w:tcPr>
            <w:tcW w:w="2637" w:type="dxa"/>
            <w:tcBorders/>
            <w:vAlign w:val="center"/>
          </w:tcPr>
          <w:p>
            <w:pPr>
              <w:pStyle w:val="TableContents"/>
              <w:bidi w:val="0"/>
              <w:spacing w:before="0" w:after="283"/>
              <w:jc w:val="left"/>
              <w:rPr>
                <w:sz w:val="4"/>
                <w:szCs w:val="4"/>
              </w:rPr>
            </w:pPr>
            <w:r>
              <w:rPr>
                <w:sz w:val="4"/>
                <w:szCs w:val="4"/>
              </w:rPr>
            </w:r>
          </w:p>
        </w:tc>
        <w:tc>
          <w:tcPr>
            <w:tcW w:w="3752" w:type="dxa"/>
            <w:tcBorders/>
            <w:vAlign w:val="center"/>
          </w:tcPr>
          <w:p>
            <w:pPr>
              <w:pStyle w:val="TableContents"/>
              <w:bidi w:val="0"/>
              <w:spacing w:before="0" w:after="283"/>
              <w:jc w:val="left"/>
              <w:rPr>
                <w:sz w:val="4"/>
                <w:szCs w:val="4"/>
              </w:rPr>
            </w:pPr>
            <w:r>
              <w:rPr>
                <w:sz w:val="4"/>
                <w:szCs w:val="4"/>
              </w:rPr>
            </w:r>
          </w:p>
        </w:tc>
      </w:tr>
      <w:tr>
        <w:trPr/>
        <w:tc>
          <w:tcPr>
            <w:tcW w:w="8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Exhibits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6"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r>
      <w:tr>
        <w:trPr/>
        <w:tc>
          <w:tcPr>
            <w:tcW w:w="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bwi-202681_ex22.htm">
              <w:r>
                <w:rPr>
                  <w:rStyle w:val="InternetLink"/>
                  <w:rFonts w:ascii="Times New Roman;serif" w:hAnsi="Times New Roman;serif"/>
                  <w:b w:val="false"/>
                  <w:color w:val="0000FF"/>
                  <w:sz w:val="20"/>
                  <w:u w:val="single"/>
                </w:rPr>
                <w:t>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bwi-202681_ex22.htm">
              <w:r>
                <w:rPr>
                  <w:rStyle w:val="InternetLink"/>
                  <w:rFonts w:ascii="Times New Roman;serif" w:hAnsi="Times New Roman;serif"/>
                  <w:b w:val="false"/>
                  <w:color w:val="0000FF"/>
                  <w:sz w:val="20"/>
                  <w:u w:val="single"/>
                </w:rPr>
                <w:t>List of Guarantor Subsidiaries.</w:t>
              </w:r>
            </w:hyperlink>
          </w:p>
        </w:tc>
      </w:tr>
      <w:tr>
        <w:trPr/>
        <w:tc>
          <w:tcPr>
            <w:tcW w:w="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bwi-202681_ex311.htm">
              <w:r>
                <w:rPr>
                  <w:rStyle w:val="InternetLink"/>
                  <w:rFonts w:ascii="Times New Roman;serif" w:hAnsi="Times New Roman;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bwi-202681_ex311.htm">
              <w:r>
                <w:rPr>
                  <w:rStyle w:val="InternetLink"/>
                  <w:rFonts w:ascii="Times New Roman;serif" w:hAnsi="Times New Roman;serif"/>
                  <w:b w:val="false"/>
                  <w:color w:val="0000FF"/>
                  <w:sz w:val="20"/>
                  <w:u w:val="single"/>
                </w:rPr>
                <w:t>Section 302 Certification of CEO.</w:t>
              </w:r>
            </w:hyperlink>
          </w:p>
        </w:tc>
      </w:tr>
      <w:tr>
        <w:trPr/>
        <w:tc>
          <w:tcPr>
            <w:tcW w:w="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bwi-202681_ex312.htm">
              <w:r>
                <w:rPr>
                  <w:rStyle w:val="InternetLink"/>
                  <w:rFonts w:ascii="Times New Roman;serif" w:hAnsi="Times New Roman;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bwi-202681_ex312.htm">
              <w:r>
                <w:rPr>
                  <w:rStyle w:val="InternetLink"/>
                  <w:rFonts w:ascii="Times New Roman;serif" w:hAnsi="Times New Roman;serif"/>
                  <w:b w:val="false"/>
                  <w:color w:val="0000FF"/>
                  <w:sz w:val="20"/>
                  <w:u w:val="single"/>
                </w:rPr>
                <w:t>Section 302 Certification of CFO.</w:t>
              </w:r>
            </w:hyperlink>
          </w:p>
        </w:tc>
      </w:tr>
      <w:tr>
        <w:trPr/>
        <w:tc>
          <w:tcPr>
            <w:tcW w:w="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bwi-202681_ex32.htm">
              <w:r>
                <w:rPr>
                  <w:rStyle w:val="InternetLink"/>
                  <w:rFonts w:ascii="Times New Roman;serif" w:hAnsi="Times New Roman;serif"/>
                  <w:b w:val="false"/>
                  <w:color w:val="0000FF"/>
                  <w:sz w:val="20"/>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bwi-202681_ex32.htm">
              <w:r>
                <w:rPr>
                  <w:rStyle w:val="InternetLink"/>
                  <w:rFonts w:ascii="Times New Roman;serif" w:hAnsi="Times New Roman;serif"/>
                  <w:b w:val="false"/>
                  <w:color w:val="0000FF"/>
                  <w:sz w:val="20"/>
                  <w:u w:val="single"/>
                </w:rPr>
                <w:t>Section 906 Certification (by CEO and CFO).</w:t>
              </w:r>
            </w:hyperlink>
          </w:p>
        </w:tc>
      </w:tr>
      <w:tr>
        <w:trPr/>
        <w:tc>
          <w:tcPr>
            <w:tcW w:w="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Instance Document - the instance document does not appear in the Interactive Data File because its XBRL tags are embedded within the Inline XBRL document.</w:t>
            </w:r>
          </w:p>
        </w:tc>
      </w:tr>
      <w:tr>
        <w:trPr/>
        <w:tc>
          <w:tcPr>
            <w:tcW w:w="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Definition Linkbase Document.</w:t>
            </w:r>
          </w:p>
        </w:tc>
      </w:tr>
      <w:tr>
        <w:trPr/>
        <w:tc>
          <w:tcPr>
            <w:tcW w:w="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00949a80dd2a484ebedc9e0f9998be34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w:t>
      </w:r>
    </w:p>
    <w:p>
      <w:pPr>
        <w:pStyle w:val="TextBody"/>
        <w:bidi w:val="0"/>
        <w:spacing w:lineRule="auto" w:line="288" w:before="100" w:after="283"/>
        <w:jc w:val="left"/>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r>
        <w:rPr>
          <w:color w:val="000000"/>
        </w:rPr>
        <w:t> </w:t>
      </w:r>
    </w:p>
    <w:tbl>
      <w:tblPr>
        <w:tblW w:w="7130" w:type="dxa"/>
        <w:jc w:val="left"/>
        <w:tblInd w:w="0" w:type="dxa"/>
        <w:tblLayout w:type="fixed"/>
        <w:tblCellMar>
          <w:top w:w="28" w:type="dxa"/>
          <w:left w:w="28" w:type="dxa"/>
          <w:bottom w:w="28" w:type="dxa"/>
          <w:right w:w="28" w:type="dxa"/>
        </w:tblCellMar>
      </w:tblPr>
      <w:tblGrid>
        <w:gridCol w:w="124"/>
        <w:gridCol w:w="109"/>
        <w:gridCol w:w="109"/>
        <w:gridCol w:w="413"/>
        <w:gridCol w:w="413"/>
        <w:gridCol w:w="413"/>
        <w:gridCol w:w="2130"/>
        <w:gridCol w:w="1739"/>
        <w:gridCol w:w="168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130" w:type="dxa"/>
            <w:tcBorders/>
            <w:vAlign w:val="center"/>
          </w:tcPr>
          <w:p>
            <w:pPr>
              <w:pStyle w:val="TableContents"/>
              <w:bidi w:val="0"/>
              <w:spacing w:before="0" w:after="283"/>
              <w:jc w:val="left"/>
              <w:rPr>
                <w:sz w:val="4"/>
                <w:szCs w:val="4"/>
              </w:rPr>
            </w:pPr>
            <w:r>
              <w:rPr>
                <w:sz w:val="4"/>
                <w:szCs w:val="4"/>
              </w:rPr>
            </w:r>
          </w:p>
        </w:tc>
        <w:tc>
          <w:tcPr>
            <w:tcW w:w="1739" w:type="dxa"/>
            <w:tcBorders/>
            <w:vAlign w:val="center"/>
          </w:tcPr>
          <w:p>
            <w:pPr>
              <w:pStyle w:val="TableContents"/>
              <w:bidi w:val="0"/>
              <w:spacing w:before="0" w:after="283"/>
              <w:jc w:val="left"/>
              <w:rPr>
                <w:sz w:val="4"/>
                <w:szCs w:val="4"/>
              </w:rPr>
            </w:pPr>
            <w:r>
              <w:rPr>
                <w:sz w:val="4"/>
                <w:szCs w:val="4"/>
              </w:rPr>
            </w:r>
          </w:p>
        </w:tc>
        <w:tc>
          <w:tcPr>
            <w:tcW w:w="168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8"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BATH &amp; BODY WORKS,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TOM JAVITCH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Tom Javitch</w:t>
              <w:br/>
              <w:t>Interim Chief Financial Officer</w:t>
              <w:br/>
              <w:t>(Principal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 ANDREW MEETING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 Andrew Meeting</w:t>
              <w:br/>
              <w:t>Senior Vice President, Controller and Principal Accounting Officer</w:t>
              <w:br/>
              <w:t>(Principal Accounting Officer)</w:t>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August 26, 2026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22</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List of Guarantor Subsidiaries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2028 Notes, 2029 Notes, 2030 Notes, 2035 Notes and 2036 Notes are jointly and severally guaranteed on a full and unconditional basis by Bath &amp; Body Works, Inc. (incorporated in Delaware) and the following 100% owned subsidiaries of Bath &amp; Body Works, Inc. as of August 1, 2026:</w:t>
      </w:r>
    </w:p>
    <w:tbl>
      <w:tblPr>
        <w:tblW w:w="7859" w:type="dxa"/>
        <w:jc w:val="center"/>
        <w:tblInd w:w="0" w:type="dxa"/>
        <w:tblLayout w:type="fixed"/>
        <w:tblCellMar>
          <w:top w:w="28" w:type="dxa"/>
          <w:left w:w="28" w:type="dxa"/>
          <w:bottom w:w="28" w:type="dxa"/>
          <w:right w:w="28" w:type="dxa"/>
        </w:tblCellMar>
      </w:tblPr>
      <w:tblGrid>
        <w:gridCol w:w="1377"/>
        <w:gridCol w:w="1208"/>
        <w:gridCol w:w="1224"/>
        <w:gridCol w:w="1184"/>
        <w:gridCol w:w="1184"/>
        <w:gridCol w:w="1682"/>
      </w:tblGrid>
      <w:tr>
        <w:trPr/>
        <w:tc>
          <w:tcPr>
            <w:tcW w:w="1377"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682"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Entity</w:t>
            </w:r>
          </w:p>
        </w:tc>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Jurisdiction of Incorporation or Organization</w:t>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Bath &amp; Body Works, LLC</w:t>
            </w:r>
          </w:p>
        </w:tc>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Bath &amp; Body Works Brand Management, Inc.</w:t>
            </w:r>
          </w:p>
        </w:tc>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Bath &amp; Body Works Direct, Inc.</w:t>
            </w:r>
          </w:p>
        </w:tc>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beautyAvenues, LLC</w:t>
            </w:r>
          </w:p>
        </w:tc>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Beauty Specialty Holding, LLC</w:t>
            </w:r>
          </w:p>
        </w:tc>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 Brands Service Company, LLC</w:t>
            </w:r>
          </w:p>
        </w:tc>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1"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Section 302 Certification</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 Daniel J. Heaf, certify that: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    I have reviewed this report on Form 10-Q of Bath &amp; Body Works, Inc.;</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2411" w:type="dxa"/>
        <w:jc w:val="left"/>
        <w:tblInd w:w="0" w:type="dxa"/>
        <w:tblLayout w:type="fixed"/>
        <w:tblCellMar>
          <w:top w:w="28" w:type="dxa"/>
          <w:left w:w="28" w:type="dxa"/>
          <w:bottom w:w="28" w:type="dxa"/>
          <w:right w:w="28" w:type="dxa"/>
        </w:tblCellMar>
      </w:tblPr>
      <w:tblGrid>
        <w:gridCol w:w="124"/>
        <w:gridCol w:w="109"/>
        <w:gridCol w:w="109"/>
        <w:gridCol w:w="605"/>
        <w:gridCol w:w="605"/>
        <w:gridCol w:w="8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DANIEL J. HEAF</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val="false"/>
                <w:color w:val="000000"/>
                <w:sz w:val="20"/>
              </w:rPr>
            </w:pPr>
            <w:r>
              <w:rPr>
                <w:rFonts w:ascii="Times New Roman;serif" w:hAnsi="Times New Roman;serif"/>
                <w:b w:val="false"/>
                <w:color w:val="000000"/>
                <w:sz w:val="20"/>
              </w:rPr>
              <w:t>Daniel J. Heaf</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Date: August 26,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2"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Section 302 Certification</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 Tom Javitch, certify that: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    I have reviewed this report on Form 10-Q of Bath &amp; Body Works, Inc.;</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2981" w:type="dxa"/>
        <w:jc w:val="left"/>
        <w:tblInd w:w="0" w:type="dxa"/>
        <w:tblLayout w:type="fixed"/>
        <w:tblCellMar>
          <w:top w:w="28" w:type="dxa"/>
          <w:left w:w="28" w:type="dxa"/>
          <w:bottom w:w="28" w:type="dxa"/>
          <w:right w:w="28" w:type="dxa"/>
        </w:tblCellMar>
      </w:tblPr>
      <w:tblGrid>
        <w:gridCol w:w="124"/>
        <w:gridCol w:w="109"/>
        <w:gridCol w:w="109"/>
        <w:gridCol w:w="772"/>
        <w:gridCol w:w="772"/>
        <w:gridCol w:w="1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TOM JAVITCH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Tom Javitch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Interim Chief Financial Officer</w:t>
            </w:r>
          </w:p>
        </w:tc>
      </w:tr>
    </w:tbl>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Date: August 26,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w:t>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Section 906 Certification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Daniel J. Heaf, the Chief Executive Officer, and Tom Javitch, the Interim Chief Financial Officer, of Bath &amp; Body Works, Inc. (the “Company”), each certifies that, to the best of our knowledge:</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(i)the Quarterly Report of the Company on Form 10-Q dated August 26, 2026 for the period ending August 1, 2026 (the “Form 10-Q”), fully complies with the requirements of Section 13(a) or 15(d) of the Securities Exchange Act of 1934;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(ii)the information contained in the Form 10-Q fairly presents, in all material respects, the financial condition and results of operations of the Company.</w:t>
      </w:r>
    </w:p>
    <w:p>
      <w:pPr>
        <w:pStyle w:val="TextBody"/>
        <w:bidi w:val="0"/>
        <w:spacing w:before="0" w:after="0"/>
        <w:jc w:val="left"/>
        <w:rPr/>
      </w:pPr>
      <w:r>
        <w:rPr/>
      </w:r>
    </w:p>
    <w:tbl>
      <w:tblPr>
        <w:tblW w:w="2982" w:type="dxa"/>
        <w:jc w:val="left"/>
        <w:tblInd w:w="0" w:type="dxa"/>
        <w:tblLayout w:type="fixed"/>
        <w:tblCellMar>
          <w:top w:w="28" w:type="dxa"/>
          <w:left w:w="28" w:type="dxa"/>
          <w:bottom w:w="28" w:type="dxa"/>
          <w:right w:w="28" w:type="dxa"/>
        </w:tblCellMar>
      </w:tblPr>
      <w:tblGrid>
        <w:gridCol w:w="124"/>
        <w:gridCol w:w="109"/>
        <w:gridCol w:w="109"/>
        <w:gridCol w:w="772"/>
        <w:gridCol w:w="772"/>
        <w:gridCol w:w="109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DANIEL J. HEAF</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Daniel J. Heaf</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TOM JAVITCH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Tom Javitch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Interim Chief Financial Officer</w:t>
            </w:r>
          </w:p>
        </w:tc>
      </w:tr>
    </w:tbl>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Date: August 26, 2026</w:t>
      </w:r>
    </w:p>
    <w:p>
      <w:pPr>
        <w:pStyle w:val="TextBody"/>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15155</Words>
  <Characters>83079</Characters>
  <CharactersWithSpaces>97043</CharactersWithSpaces>
  <Paragraphs>2321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